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37E9" w:rsidRPr="000537E9" w:rsidRDefault="00C05AD6" w:rsidP="00C05AD6">
      <w:pPr>
        <w:pStyle w:val="Textoindependiente"/>
        <w:ind w:left="4500" w:right="74"/>
        <w:jc w:val="both"/>
        <w:rPr>
          <w:sz w:val="16"/>
          <w:szCs w:val="20"/>
        </w:rPr>
      </w:pPr>
      <w:r w:rsidRPr="00A145D5">
        <w:rPr>
          <w:noProof/>
          <w:lang w:eastAsia="es-MX"/>
        </w:rPr>
        <mc:AlternateContent>
          <mc:Choice Requires="wps">
            <w:drawing>
              <wp:anchor distT="0" distB="0" distL="114300" distR="114300" simplePos="0" relativeHeight="251659776" behindDoc="0" locked="0" layoutInCell="1" allowOverlap="1" wp14:anchorId="3B9596B2" wp14:editId="74C2F344">
                <wp:simplePos x="0" y="0"/>
                <wp:positionH relativeFrom="margin">
                  <wp:align>right</wp:align>
                </wp:positionH>
                <wp:positionV relativeFrom="paragraph">
                  <wp:posOffset>-233512</wp:posOffset>
                </wp:positionV>
                <wp:extent cx="3392805" cy="10591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D6" w:rsidRPr="0001705A" w:rsidRDefault="00C05AD6" w:rsidP="00C05AD6">
                            <w:pPr>
                              <w:pStyle w:val="SECRETARIADELAFUNCIONPUBLICA"/>
                              <w:jc w:val="right"/>
                              <w:rPr>
                                <w:rFonts w:ascii="Adobe Caslon Pro Bold" w:hAnsi="Adobe Caslon Pro Bold"/>
                                <w:b/>
                                <w:szCs w:val="18"/>
                              </w:rPr>
                            </w:pPr>
                            <w:r>
                              <w:rPr>
                                <w:rFonts w:ascii="Adobe Caslon Pro Bold" w:hAnsi="Adobe Caslon Pro Bold"/>
                                <w:b/>
                                <w:szCs w:val="18"/>
                              </w:rPr>
                              <w:t>S</w:t>
                            </w:r>
                            <w:r w:rsidRPr="0001705A">
                              <w:rPr>
                                <w:rFonts w:ascii="Adobe Caslon Pro Bold" w:hAnsi="Adobe Caslon Pro Bold"/>
                                <w:b/>
                                <w:szCs w:val="18"/>
                              </w:rPr>
                              <w:t xml:space="preserve">ubsecretaría de la </w:t>
                            </w:r>
                            <w:r>
                              <w:rPr>
                                <w:rFonts w:ascii="Adobe Caslon Pro Bold" w:hAnsi="Adobe Caslon Pro Bold"/>
                                <w:b/>
                                <w:szCs w:val="18"/>
                              </w:rPr>
                              <w:t>F</w:t>
                            </w:r>
                            <w:r w:rsidRPr="0001705A">
                              <w:rPr>
                                <w:rFonts w:ascii="Adobe Caslon Pro Bold" w:hAnsi="Adobe Caslon Pro Bold"/>
                                <w:b/>
                                <w:szCs w:val="18"/>
                              </w:rPr>
                              <w:t xml:space="preserve">unción </w:t>
                            </w:r>
                            <w:r>
                              <w:rPr>
                                <w:rFonts w:ascii="Adobe Caslon Pro Bold" w:hAnsi="Adobe Caslon Pro Bold"/>
                                <w:b/>
                                <w:szCs w:val="18"/>
                              </w:rPr>
                              <w:t>P</w:t>
                            </w:r>
                            <w:r w:rsidRPr="0001705A">
                              <w:rPr>
                                <w:rFonts w:ascii="Adobe Caslon Pro Bold" w:hAnsi="Adobe Caslon Pro Bold"/>
                                <w:b/>
                                <w:szCs w:val="18"/>
                              </w:rPr>
                              <w:t>ública</w:t>
                            </w:r>
                          </w:p>
                          <w:p w:rsidR="00C05AD6" w:rsidRPr="0001705A" w:rsidRDefault="00C05AD6" w:rsidP="00C05AD6">
                            <w:pPr>
                              <w:pStyle w:val="SECRETARIADELAFUNCIONPUBLICA"/>
                              <w:jc w:val="right"/>
                              <w:rPr>
                                <w:rFonts w:ascii="Adobe Caslon Pro Bold" w:hAnsi="Adobe Caslon Pro Bold"/>
                                <w:b/>
                                <w:szCs w:val="18"/>
                              </w:rPr>
                            </w:pPr>
                            <w:r>
                              <w:rPr>
                                <w:rFonts w:ascii="Adobe Caslon Pro Bold" w:hAnsi="Adobe Caslon Pro Bold"/>
                                <w:b/>
                                <w:szCs w:val="18"/>
                              </w:rPr>
                              <w:t>Unidad de Política de R</w:t>
                            </w:r>
                            <w:r w:rsidRPr="0001705A">
                              <w:rPr>
                                <w:rFonts w:ascii="Adobe Caslon Pro Bold" w:hAnsi="Adobe Caslon Pro Bold"/>
                                <w:b/>
                                <w:szCs w:val="18"/>
                              </w:rPr>
                              <w:t xml:space="preserve">ecursos </w:t>
                            </w:r>
                            <w:r>
                              <w:rPr>
                                <w:rFonts w:ascii="Adobe Caslon Pro Bold" w:hAnsi="Adobe Caslon Pro Bold"/>
                                <w:b/>
                                <w:szCs w:val="18"/>
                              </w:rPr>
                              <w:t>Humanos de la A</w:t>
                            </w:r>
                            <w:r w:rsidRPr="0001705A">
                              <w:rPr>
                                <w:rFonts w:ascii="Adobe Caslon Pro Bold" w:hAnsi="Adobe Caslon Pro Bold"/>
                                <w:b/>
                                <w:szCs w:val="18"/>
                              </w:rPr>
                              <w:t xml:space="preserve">dministración </w:t>
                            </w:r>
                            <w:r>
                              <w:rPr>
                                <w:rFonts w:ascii="Adobe Caslon Pro Bold" w:hAnsi="Adobe Caslon Pro Bold"/>
                                <w:b/>
                                <w:szCs w:val="18"/>
                              </w:rPr>
                              <w:t>Pública F</w:t>
                            </w:r>
                            <w:r w:rsidRPr="0001705A">
                              <w:rPr>
                                <w:rFonts w:ascii="Adobe Caslon Pro Bold" w:hAnsi="Adobe Caslon Pro Bold"/>
                                <w:b/>
                                <w:szCs w:val="18"/>
                              </w:rPr>
                              <w:t>ederal</w:t>
                            </w:r>
                          </w:p>
                          <w:p w:rsidR="00C05AD6" w:rsidRDefault="00C05AD6" w:rsidP="00C05AD6">
                            <w:pPr>
                              <w:pStyle w:val="SECRETARIADELAFUNCIONPUBLICA"/>
                              <w:jc w:val="right"/>
                              <w:rPr>
                                <w:rFonts w:ascii="Adobe Caslon Pro Bold" w:hAnsi="Adobe Caslon Pro Bold"/>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596B2" id="_x0000_t202" coordsize="21600,21600" o:spt="202" path="m,l,21600r21600,l21600,xe">
                <v:stroke joinstyle="miter"/>
                <v:path gradientshapeok="t" o:connecttype="rect"/>
              </v:shapetype>
              <v:shape id="Text Box 2" o:spid="_x0000_s1026" type="#_x0000_t202" style="position:absolute;left:0;text-align:left;margin-left:215.95pt;margin-top:-18.4pt;width:267.15pt;height:83.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QShA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" stroked="f">
                <v:textbox>
                  <w:txbxContent>
                    <w:p w:rsidR="00C05AD6" w:rsidRPr="0001705A" w:rsidRDefault="00C05AD6" w:rsidP="00C05AD6">
                      <w:pPr>
                        <w:pStyle w:val="SECRETARIADELAFUNCIONPUBLICA"/>
                        <w:jc w:val="right"/>
                        <w:rPr>
                          <w:rFonts w:ascii="Adobe Caslon Pro Bold" w:hAnsi="Adobe Caslon Pro Bold"/>
                          <w:b/>
                          <w:szCs w:val="18"/>
                        </w:rPr>
                      </w:pPr>
                      <w:r>
                        <w:rPr>
                          <w:rFonts w:ascii="Adobe Caslon Pro Bold" w:hAnsi="Adobe Caslon Pro Bold"/>
                          <w:b/>
                          <w:szCs w:val="18"/>
                        </w:rPr>
                        <w:t>S</w:t>
                      </w:r>
                      <w:r w:rsidRPr="0001705A">
                        <w:rPr>
                          <w:rFonts w:ascii="Adobe Caslon Pro Bold" w:hAnsi="Adobe Caslon Pro Bold"/>
                          <w:b/>
                          <w:szCs w:val="18"/>
                        </w:rPr>
                        <w:t xml:space="preserve">ubsecretaría de la </w:t>
                      </w:r>
                      <w:r>
                        <w:rPr>
                          <w:rFonts w:ascii="Adobe Caslon Pro Bold" w:hAnsi="Adobe Caslon Pro Bold"/>
                          <w:b/>
                          <w:szCs w:val="18"/>
                        </w:rPr>
                        <w:t>F</w:t>
                      </w:r>
                      <w:r w:rsidRPr="0001705A">
                        <w:rPr>
                          <w:rFonts w:ascii="Adobe Caslon Pro Bold" w:hAnsi="Adobe Caslon Pro Bold"/>
                          <w:b/>
                          <w:szCs w:val="18"/>
                        </w:rPr>
                        <w:t xml:space="preserve">unción </w:t>
                      </w:r>
                      <w:r>
                        <w:rPr>
                          <w:rFonts w:ascii="Adobe Caslon Pro Bold" w:hAnsi="Adobe Caslon Pro Bold"/>
                          <w:b/>
                          <w:szCs w:val="18"/>
                        </w:rPr>
                        <w:t>P</w:t>
                      </w:r>
                      <w:r w:rsidRPr="0001705A">
                        <w:rPr>
                          <w:rFonts w:ascii="Adobe Caslon Pro Bold" w:hAnsi="Adobe Caslon Pro Bold"/>
                          <w:b/>
                          <w:szCs w:val="18"/>
                        </w:rPr>
                        <w:t>ública</w:t>
                      </w:r>
                    </w:p>
                    <w:p w:rsidR="00C05AD6" w:rsidRPr="0001705A" w:rsidRDefault="00C05AD6" w:rsidP="00C05AD6">
                      <w:pPr>
                        <w:pStyle w:val="SECRETARIADELAFUNCIONPUBLICA"/>
                        <w:jc w:val="right"/>
                        <w:rPr>
                          <w:rFonts w:ascii="Adobe Caslon Pro Bold" w:hAnsi="Adobe Caslon Pro Bold"/>
                          <w:b/>
                          <w:szCs w:val="18"/>
                        </w:rPr>
                      </w:pPr>
                      <w:r>
                        <w:rPr>
                          <w:rFonts w:ascii="Adobe Caslon Pro Bold" w:hAnsi="Adobe Caslon Pro Bold"/>
                          <w:b/>
                          <w:szCs w:val="18"/>
                        </w:rPr>
                        <w:t>Unidad de Política de R</w:t>
                      </w:r>
                      <w:r w:rsidRPr="0001705A">
                        <w:rPr>
                          <w:rFonts w:ascii="Adobe Caslon Pro Bold" w:hAnsi="Adobe Caslon Pro Bold"/>
                          <w:b/>
                          <w:szCs w:val="18"/>
                        </w:rPr>
                        <w:t xml:space="preserve">ecursos </w:t>
                      </w:r>
                      <w:r>
                        <w:rPr>
                          <w:rFonts w:ascii="Adobe Caslon Pro Bold" w:hAnsi="Adobe Caslon Pro Bold"/>
                          <w:b/>
                          <w:szCs w:val="18"/>
                        </w:rPr>
                        <w:t>Humanos de la A</w:t>
                      </w:r>
                      <w:r w:rsidRPr="0001705A">
                        <w:rPr>
                          <w:rFonts w:ascii="Adobe Caslon Pro Bold" w:hAnsi="Adobe Caslon Pro Bold"/>
                          <w:b/>
                          <w:szCs w:val="18"/>
                        </w:rPr>
                        <w:t xml:space="preserve">dministración </w:t>
                      </w:r>
                      <w:r>
                        <w:rPr>
                          <w:rFonts w:ascii="Adobe Caslon Pro Bold" w:hAnsi="Adobe Caslon Pro Bold"/>
                          <w:b/>
                          <w:szCs w:val="18"/>
                        </w:rPr>
                        <w:t>Pública F</w:t>
                      </w:r>
                      <w:r w:rsidRPr="0001705A">
                        <w:rPr>
                          <w:rFonts w:ascii="Adobe Caslon Pro Bold" w:hAnsi="Adobe Caslon Pro Bold"/>
                          <w:b/>
                          <w:szCs w:val="18"/>
                        </w:rPr>
                        <w:t>ederal</w:t>
                      </w:r>
                    </w:p>
                    <w:p w:rsidR="00C05AD6" w:rsidRDefault="00C05AD6" w:rsidP="00C05AD6">
                      <w:pPr>
                        <w:pStyle w:val="SECRETARIADELAFUNCIONPUBLICA"/>
                        <w:jc w:val="right"/>
                        <w:rPr>
                          <w:rFonts w:ascii="Adobe Caslon Pro Bold" w:hAnsi="Adobe Caslon Pro Bold"/>
                          <w:b/>
                          <w:szCs w:val="18"/>
                        </w:rPr>
                      </w:pPr>
                    </w:p>
                  </w:txbxContent>
                </v:textbox>
                <w10:wrap anchorx="margin"/>
              </v:shape>
            </w:pict>
          </mc:Fallback>
        </mc:AlternateContent>
      </w:r>
    </w:p>
    <w:p w:rsidR="00002445" w:rsidRDefault="00002445" w:rsidP="00F611D5">
      <w:pPr>
        <w:rPr>
          <w:b/>
          <w:bCs/>
          <w:noProof/>
          <w:color w:val="000000"/>
          <w:sz w:val="20"/>
          <w:szCs w:val="20"/>
          <w:lang w:val="es-ES"/>
        </w:rPr>
      </w:pPr>
    </w:p>
    <w:p w:rsidR="00C05AD6" w:rsidRDefault="00A145D5" w:rsidP="00A145D5">
      <w:pPr>
        <w:tabs>
          <w:tab w:val="left" w:pos="1308"/>
        </w:tabs>
        <w:rPr>
          <w:b/>
          <w:bCs/>
          <w:noProof/>
          <w:color w:val="000000"/>
          <w:sz w:val="20"/>
          <w:szCs w:val="20"/>
          <w:lang w:val="es-ES"/>
        </w:rPr>
      </w:pPr>
      <w:r>
        <w:rPr>
          <w:b/>
          <w:bCs/>
          <w:noProof/>
          <w:color w:val="000000"/>
          <w:sz w:val="20"/>
          <w:szCs w:val="20"/>
          <w:lang w:val="es-ES"/>
        </w:rPr>
        <w:tab/>
      </w:r>
    </w:p>
    <w:p w:rsidR="00C05AD6" w:rsidRDefault="00C05AD6" w:rsidP="00F611D5">
      <w:pPr>
        <w:rPr>
          <w:b/>
          <w:bCs/>
          <w:noProof/>
          <w:color w:val="000000"/>
          <w:sz w:val="20"/>
          <w:szCs w:val="20"/>
          <w:lang w:val="es-ES"/>
        </w:rPr>
      </w:pPr>
    </w:p>
    <w:p w:rsidR="00C05AD6" w:rsidRDefault="00C05AD6" w:rsidP="00F611D5">
      <w:pPr>
        <w:rPr>
          <w:b/>
          <w:bCs/>
          <w:noProof/>
          <w:color w:val="000000"/>
          <w:sz w:val="20"/>
          <w:szCs w:val="20"/>
          <w:lang w:val="es-ES"/>
        </w:rPr>
      </w:pPr>
    </w:p>
    <w:p w:rsidR="00B5750F" w:rsidRDefault="00B5750F"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2"/>
          <w:szCs w:val="22"/>
          <w:lang w:val="es-ES"/>
        </w:rPr>
      </w:pPr>
    </w:p>
    <w:p w:rsidR="0097571A" w:rsidRPr="0097571A" w:rsidRDefault="0097571A" w:rsidP="00F611D5">
      <w:pPr>
        <w:rPr>
          <w:b/>
          <w:bCs/>
          <w:noProof/>
          <w:color w:val="000000"/>
          <w:sz w:val="20"/>
          <w:szCs w:val="20"/>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A92B3D">
      <w:pPr>
        <w:jc w:val="center"/>
        <w:rPr>
          <w:b/>
          <w:bCs/>
          <w:noProof/>
          <w:color w:val="000000"/>
          <w:sz w:val="32"/>
          <w:szCs w:val="32"/>
          <w:lang w:val="es-ES"/>
        </w:rPr>
      </w:pPr>
    </w:p>
    <w:p w:rsidR="00A92B3D" w:rsidRDefault="00A92B3D" w:rsidP="00A92B3D">
      <w:pPr>
        <w:jc w:val="center"/>
        <w:rPr>
          <w:b/>
          <w:bCs/>
          <w:noProof/>
          <w:color w:val="000000"/>
          <w:sz w:val="32"/>
          <w:szCs w:val="32"/>
          <w:lang w:val="es-ES"/>
        </w:rPr>
      </w:pPr>
      <w:r>
        <w:rPr>
          <w:b/>
          <w:bCs/>
          <w:noProof/>
          <w:color w:val="000000"/>
          <w:sz w:val="32"/>
          <w:szCs w:val="32"/>
          <w:lang w:val="es-ES"/>
        </w:rPr>
        <w:t>INSTRUCTIVO PARA EL CÁLCULO DE LOS INDICADORES DE BASES DE COLABORACIÓN EN EL MARCO DEL PGCYM EN MATERIA DE RECURSOS HUMANOS Y ORGANIZACIÓN</w:t>
      </w:r>
    </w:p>
    <w:p w:rsidR="00A92B3D" w:rsidRDefault="00A92B3D" w:rsidP="00A92B3D">
      <w:pPr>
        <w:jc w:val="center"/>
        <w:rPr>
          <w:b/>
          <w:bCs/>
          <w:noProof/>
          <w:color w:val="000000"/>
          <w:sz w:val="32"/>
          <w:szCs w:val="32"/>
          <w:lang w:val="es-ES"/>
        </w:rPr>
      </w:pPr>
    </w:p>
    <w:p w:rsidR="00A92B3D" w:rsidRDefault="00A92B3D" w:rsidP="00A92B3D">
      <w:pPr>
        <w:jc w:val="center"/>
        <w:rPr>
          <w:b/>
          <w:bCs/>
          <w:noProof/>
          <w:color w:val="000000"/>
          <w:sz w:val="32"/>
          <w:szCs w:val="32"/>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97571A" w:rsidRDefault="0097571A" w:rsidP="00F611D5">
      <w:pPr>
        <w:rPr>
          <w:b/>
          <w:bCs/>
          <w:noProof/>
          <w:color w:val="000000"/>
          <w:sz w:val="20"/>
          <w:szCs w:val="20"/>
          <w:lang w:val="es-ES"/>
        </w:rPr>
      </w:pPr>
    </w:p>
    <w:p w:rsidR="0097571A" w:rsidRDefault="0097571A"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97571A" w:rsidRDefault="0097571A"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A92B3D" w:rsidRDefault="00A92B3D" w:rsidP="00F611D5">
      <w:pPr>
        <w:rPr>
          <w:b/>
          <w:bCs/>
          <w:noProof/>
          <w:color w:val="000000"/>
          <w:sz w:val="20"/>
          <w:szCs w:val="20"/>
          <w:lang w:val="es-ES"/>
        </w:rPr>
      </w:pPr>
    </w:p>
    <w:p w:rsidR="00094958" w:rsidRDefault="00094958" w:rsidP="0097571A">
      <w:pPr>
        <w:jc w:val="center"/>
        <w:rPr>
          <w:b/>
          <w:bCs/>
          <w:noProof/>
          <w:color w:val="000000"/>
          <w:sz w:val="32"/>
          <w:szCs w:val="32"/>
          <w:lang w:val="es-ES"/>
        </w:rPr>
      </w:pPr>
    </w:p>
    <w:p w:rsidR="007F35B1" w:rsidRPr="00A92B3D" w:rsidRDefault="00A92B3D" w:rsidP="00A92B3D">
      <w:pPr>
        <w:pStyle w:val="Prrafodelista"/>
        <w:ind w:left="1080"/>
        <w:rPr>
          <w:b/>
          <w:bCs/>
          <w:noProof/>
          <w:color w:val="000000"/>
          <w:sz w:val="32"/>
          <w:szCs w:val="32"/>
          <w:lang w:val="es-ES"/>
        </w:rPr>
      </w:pPr>
      <w:r>
        <w:rPr>
          <w:b/>
          <w:bCs/>
          <w:noProof/>
          <w:color w:val="000000"/>
          <w:sz w:val="32"/>
          <w:szCs w:val="32"/>
          <w:lang w:val="es-ES"/>
        </w:rPr>
        <w:t xml:space="preserve">I. </w:t>
      </w:r>
      <w:r w:rsidR="005F128B" w:rsidRPr="00A92B3D">
        <w:rPr>
          <w:b/>
          <w:bCs/>
          <w:noProof/>
          <w:color w:val="000000"/>
          <w:sz w:val="32"/>
          <w:szCs w:val="32"/>
          <w:lang w:val="es-ES"/>
        </w:rPr>
        <w:t>INSTRUCTIVO PARA EL CÁLCULO DE</w:t>
      </w:r>
      <w:r w:rsidR="00094958" w:rsidRPr="00A92B3D">
        <w:rPr>
          <w:b/>
          <w:bCs/>
          <w:noProof/>
          <w:color w:val="000000"/>
          <w:sz w:val="32"/>
          <w:szCs w:val="32"/>
          <w:lang w:val="es-ES"/>
        </w:rPr>
        <w:t xml:space="preserve">L </w:t>
      </w:r>
      <w:r w:rsidR="005F128B" w:rsidRPr="00A92B3D">
        <w:rPr>
          <w:b/>
          <w:bCs/>
          <w:noProof/>
          <w:color w:val="000000"/>
          <w:sz w:val="32"/>
          <w:szCs w:val="32"/>
          <w:lang w:val="es-ES"/>
        </w:rPr>
        <w:t>INDICADOR</w:t>
      </w:r>
      <w:r w:rsidR="00094958" w:rsidRPr="00A92B3D">
        <w:rPr>
          <w:b/>
          <w:bCs/>
          <w:noProof/>
          <w:color w:val="000000"/>
          <w:sz w:val="32"/>
          <w:szCs w:val="32"/>
          <w:lang w:val="es-ES"/>
        </w:rPr>
        <w:t xml:space="preserve"> </w:t>
      </w:r>
      <w:r w:rsidR="007F35B1" w:rsidRPr="00A92B3D">
        <w:rPr>
          <w:b/>
          <w:bCs/>
          <w:noProof/>
          <w:color w:val="000000"/>
          <w:sz w:val="32"/>
          <w:szCs w:val="32"/>
          <w:lang w:val="es-ES"/>
        </w:rPr>
        <w:t>:</w:t>
      </w:r>
    </w:p>
    <w:p w:rsidR="007F35B1" w:rsidRDefault="007F35B1" w:rsidP="0097571A">
      <w:pPr>
        <w:jc w:val="center"/>
        <w:rPr>
          <w:b/>
          <w:bCs/>
          <w:noProof/>
          <w:color w:val="000000"/>
          <w:sz w:val="32"/>
          <w:szCs w:val="32"/>
          <w:lang w:val="es-ES"/>
        </w:rPr>
      </w:pPr>
      <w:r>
        <w:rPr>
          <w:b/>
          <w:bCs/>
          <w:noProof/>
          <w:color w:val="000000"/>
          <w:sz w:val="32"/>
          <w:szCs w:val="32"/>
          <w:lang w:val="es-ES"/>
        </w:rPr>
        <w:t xml:space="preserve">“UNIDADES ADMINISTRATIVAS ORIENTADAS </w:t>
      </w:r>
    </w:p>
    <w:p w:rsidR="00094958" w:rsidRDefault="007F35B1" w:rsidP="0097571A">
      <w:pPr>
        <w:jc w:val="center"/>
        <w:rPr>
          <w:b/>
          <w:bCs/>
          <w:noProof/>
          <w:color w:val="000000"/>
          <w:sz w:val="32"/>
          <w:szCs w:val="32"/>
          <w:lang w:val="es-ES"/>
        </w:rPr>
      </w:pPr>
      <w:r>
        <w:rPr>
          <w:b/>
          <w:bCs/>
          <w:noProof/>
          <w:color w:val="000000"/>
          <w:sz w:val="32"/>
          <w:szCs w:val="32"/>
          <w:lang w:val="es-ES"/>
        </w:rPr>
        <w:t>A OBJETIVOS ESTRATEGIAS</w:t>
      </w:r>
      <w:r w:rsidR="00094958">
        <w:rPr>
          <w:b/>
          <w:bCs/>
          <w:noProof/>
          <w:color w:val="000000"/>
          <w:sz w:val="32"/>
          <w:szCs w:val="32"/>
          <w:lang w:val="es-ES"/>
        </w:rPr>
        <w:t>”</w:t>
      </w:r>
    </w:p>
    <w:p w:rsidR="00094958" w:rsidRDefault="00094958" w:rsidP="0097571A">
      <w:pPr>
        <w:jc w:val="center"/>
        <w:rPr>
          <w:b/>
          <w:bCs/>
          <w:noProof/>
          <w:color w:val="000000"/>
          <w:sz w:val="32"/>
          <w:szCs w:val="32"/>
          <w:lang w:val="es-ES"/>
        </w:rPr>
      </w:pPr>
    </w:p>
    <w:p w:rsidR="00094958" w:rsidRPr="00094958" w:rsidRDefault="00094958" w:rsidP="00094958">
      <w:pPr>
        <w:jc w:val="center"/>
        <w:rPr>
          <w:rFonts w:asciiTheme="minorHAnsi" w:hAnsiTheme="minorHAnsi"/>
          <w:sz w:val="28"/>
          <w:szCs w:val="28"/>
        </w:rPr>
      </w:pPr>
      <w:r w:rsidRPr="00094958">
        <w:rPr>
          <w:rFonts w:asciiTheme="minorHAnsi" w:hAnsiTheme="minorHAnsi"/>
          <w:bCs/>
          <w:noProof/>
          <w:color w:val="000000"/>
          <w:sz w:val="28"/>
          <w:szCs w:val="28"/>
          <w:lang w:val="es-ES"/>
        </w:rPr>
        <w:t xml:space="preserve">(Estrategia </w:t>
      </w:r>
      <w:r w:rsidR="007F35B1">
        <w:rPr>
          <w:rFonts w:asciiTheme="minorHAnsi" w:hAnsiTheme="minorHAnsi"/>
          <w:bCs/>
          <w:noProof/>
          <w:color w:val="000000"/>
          <w:sz w:val="28"/>
          <w:szCs w:val="28"/>
          <w:lang w:val="es-ES"/>
        </w:rPr>
        <w:t>3.1</w:t>
      </w:r>
      <w:r w:rsidRPr="00094958">
        <w:rPr>
          <w:rFonts w:asciiTheme="minorHAnsi" w:hAnsiTheme="minorHAnsi"/>
          <w:bCs/>
          <w:noProof/>
          <w:color w:val="000000"/>
          <w:sz w:val="28"/>
          <w:szCs w:val="28"/>
          <w:lang w:val="es-ES"/>
        </w:rPr>
        <w:t xml:space="preserve"> </w:t>
      </w:r>
      <w:r w:rsidR="003103DF">
        <w:rPr>
          <w:rFonts w:asciiTheme="minorHAnsi" w:hAnsiTheme="minorHAnsi"/>
          <w:bCs/>
          <w:noProof/>
          <w:color w:val="000000"/>
          <w:sz w:val="28"/>
          <w:szCs w:val="28"/>
          <w:lang w:val="es-ES"/>
        </w:rPr>
        <w:t>Orientar las e</w:t>
      </w:r>
      <w:r w:rsidR="007F35B1">
        <w:rPr>
          <w:rFonts w:asciiTheme="minorHAnsi" w:hAnsiTheme="minorHAnsi"/>
          <w:bCs/>
          <w:noProof/>
          <w:color w:val="000000"/>
          <w:sz w:val="28"/>
          <w:szCs w:val="28"/>
          <w:lang w:val="es-ES"/>
        </w:rPr>
        <w:t>structuras</w:t>
      </w:r>
      <w:r w:rsidR="003103DF">
        <w:rPr>
          <w:rFonts w:asciiTheme="minorHAnsi" w:hAnsiTheme="minorHAnsi"/>
          <w:bCs/>
          <w:noProof/>
          <w:color w:val="000000"/>
          <w:sz w:val="28"/>
          <w:szCs w:val="28"/>
          <w:lang w:val="es-ES"/>
        </w:rPr>
        <w:t xml:space="preserve"> orgánicas y ocupacionales hacia los objetivos estratégicos</w:t>
      </w:r>
      <w:r w:rsidR="007F35B1">
        <w:rPr>
          <w:rFonts w:asciiTheme="minorHAnsi" w:hAnsiTheme="minorHAnsi"/>
          <w:bCs/>
          <w:noProof/>
          <w:color w:val="000000"/>
          <w:sz w:val="28"/>
          <w:szCs w:val="28"/>
          <w:lang w:val="es-ES"/>
        </w:rPr>
        <w:t xml:space="preserve"> </w:t>
      </w:r>
      <w:r w:rsidRPr="00094958">
        <w:rPr>
          <w:rFonts w:asciiTheme="minorHAnsi" w:hAnsiTheme="minorHAnsi"/>
          <w:sz w:val="28"/>
          <w:szCs w:val="28"/>
        </w:rPr>
        <w:t xml:space="preserve">) </w:t>
      </w:r>
    </w:p>
    <w:p w:rsidR="00094958" w:rsidRDefault="00094958" w:rsidP="00094958">
      <w:pPr>
        <w:jc w:val="center"/>
      </w:pPr>
    </w:p>
    <w:p w:rsidR="00094958" w:rsidRDefault="00094958" w:rsidP="00094958">
      <w:pPr>
        <w:jc w:val="center"/>
      </w:pPr>
    </w:p>
    <w:p w:rsidR="0097571A" w:rsidRDefault="0097571A" w:rsidP="0097571A">
      <w:pPr>
        <w:jc w:val="center"/>
        <w:rPr>
          <w:b/>
          <w:bCs/>
          <w:noProof/>
          <w:color w:val="000000"/>
          <w:sz w:val="32"/>
          <w:szCs w:val="32"/>
          <w:lang w:val="es-ES"/>
        </w:rPr>
      </w:pPr>
    </w:p>
    <w:p w:rsidR="0097571A" w:rsidRDefault="0097571A" w:rsidP="0097571A">
      <w:pPr>
        <w:jc w:val="center"/>
        <w:rPr>
          <w:b/>
          <w:bCs/>
          <w:noProof/>
          <w:color w:val="000000"/>
          <w:sz w:val="32"/>
          <w:szCs w:val="32"/>
          <w:lang w:val="es-ES"/>
        </w:rPr>
      </w:pPr>
    </w:p>
    <w:p w:rsidR="0097571A" w:rsidRDefault="0097571A" w:rsidP="0097571A">
      <w:pPr>
        <w:jc w:val="center"/>
        <w:rPr>
          <w:b/>
          <w:bCs/>
          <w:noProof/>
          <w:color w:val="000000"/>
          <w:sz w:val="32"/>
          <w:szCs w:val="32"/>
          <w:lang w:val="es-ES"/>
        </w:rPr>
      </w:pPr>
    </w:p>
    <w:p w:rsidR="00C1025B" w:rsidRDefault="00C1025B" w:rsidP="0097571A">
      <w:pPr>
        <w:jc w:val="center"/>
        <w:rPr>
          <w:b/>
          <w:bCs/>
          <w:noProof/>
          <w:color w:val="000000"/>
          <w:sz w:val="32"/>
          <w:szCs w:val="32"/>
          <w:lang w:val="es-ES"/>
        </w:rPr>
      </w:pPr>
    </w:p>
    <w:p w:rsidR="00C1025B" w:rsidRDefault="00C1025B" w:rsidP="0097571A">
      <w:pPr>
        <w:jc w:val="center"/>
        <w:rPr>
          <w:b/>
          <w:bCs/>
          <w:noProof/>
          <w:color w:val="000000"/>
          <w:sz w:val="32"/>
          <w:szCs w:val="32"/>
          <w:lang w:val="es-ES"/>
        </w:rPr>
      </w:pPr>
    </w:p>
    <w:p w:rsidR="00C1025B" w:rsidRDefault="00C1025B" w:rsidP="0097571A">
      <w:pPr>
        <w:jc w:val="center"/>
        <w:rPr>
          <w:b/>
          <w:bCs/>
          <w:noProof/>
          <w:color w:val="000000"/>
          <w:sz w:val="32"/>
          <w:szCs w:val="32"/>
          <w:lang w:val="es-ES"/>
        </w:rPr>
      </w:pPr>
    </w:p>
    <w:p w:rsidR="00C1025B" w:rsidRPr="00094958" w:rsidRDefault="00094958" w:rsidP="00094958">
      <w:pPr>
        <w:jc w:val="center"/>
        <w:rPr>
          <w:b/>
          <w:bCs/>
          <w:noProof/>
          <w:color w:val="000000"/>
          <w:sz w:val="32"/>
          <w:szCs w:val="32"/>
          <w:lang w:val="es-ES"/>
        </w:rPr>
      </w:pPr>
      <w:r>
        <w:rPr>
          <w:b/>
          <w:bCs/>
          <w:noProof/>
          <w:color w:val="000000"/>
          <w:sz w:val="32"/>
          <w:szCs w:val="32"/>
          <w:lang w:val="es-ES"/>
        </w:rPr>
        <w:t xml:space="preserve">Indicador: </w:t>
      </w:r>
      <w:r w:rsidR="004D4A90">
        <w:rPr>
          <w:b/>
          <w:bCs/>
          <w:noProof/>
          <w:color w:val="000000"/>
          <w:sz w:val="32"/>
          <w:szCs w:val="32"/>
          <w:lang w:val="es-ES"/>
        </w:rPr>
        <w:t>Unidades administrativas orientadas a objetivos estratégicos.</w:t>
      </w:r>
    </w:p>
    <w:p w:rsidR="00C1025B" w:rsidRDefault="00C1025B" w:rsidP="00C1025B">
      <w:pPr>
        <w:jc w:val="both"/>
        <w:rPr>
          <w:rFonts w:cs="Times New Roman"/>
          <w:sz w:val="22"/>
          <w:szCs w:val="22"/>
        </w:rPr>
      </w:pPr>
    </w:p>
    <w:tbl>
      <w:tblPr>
        <w:tblW w:w="9629" w:type="dxa"/>
        <w:tblCellMar>
          <w:left w:w="70" w:type="dxa"/>
          <w:right w:w="70" w:type="dxa"/>
        </w:tblCellMar>
        <w:tblLook w:val="04A0" w:firstRow="1" w:lastRow="0" w:firstColumn="1" w:lastColumn="0" w:noHBand="0" w:noVBand="1"/>
      </w:tblPr>
      <w:tblGrid>
        <w:gridCol w:w="2258"/>
        <w:gridCol w:w="2127"/>
        <w:gridCol w:w="1842"/>
        <w:gridCol w:w="1560"/>
        <w:gridCol w:w="1842"/>
      </w:tblGrid>
      <w:tr w:rsidR="004D4A90" w:rsidRPr="004D4A90" w:rsidTr="004D4A90">
        <w:trPr>
          <w:trHeight w:val="420"/>
        </w:trPr>
        <w:tc>
          <w:tcPr>
            <w:tcW w:w="9629" w:type="dxa"/>
            <w:gridSpan w:val="5"/>
            <w:tcBorders>
              <w:top w:val="single" w:sz="8" w:space="0" w:color="548235"/>
              <w:left w:val="single" w:sz="8" w:space="0" w:color="548235"/>
              <w:bottom w:val="single" w:sz="8" w:space="0" w:color="548235"/>
              <w:right w:val="single" w:sz="8" w:space="0" w:color="548235"/>
            </w:tcBorders>
            <w:shd w:val="clear" w:color="auto" w:fill="auto"/>
            <w:vAlign w:val="center"/>
            <w:hideMark/>
          </w:tcPr>
          <w:p w:rsidR="004D4A90" w:rsidRPr="004D4A90" w:rsidRDefault="004D4A90" w:rsidP="004D4A90">
            <w:pPr>
              <w:jc w:val="center"/>
              <w:rPr>
                <w:rFonts w:ascii="Calibri" w:hAnsi="Calibri" w:cs="Times New Roman"/>
                <w:b/>
                <w:bCs/>
                <w:color w:val="000000"/>
                <w:sz w:val="22"/>
                <w:szCs w:val="22"/>
                <w:lang w:eastAsia="es-MX"/>
              </w:rPr>
            </w:pPr>
            <w:r w:rsidRPr="004D4A90">
              <w:rPr>
                <w:rFonts w:ascii="Calibri" w:hAnsi="Calibri" w:cs="Times New Roman"/>
                <w:b/>
                <w:bCs/>
                <w:color w:val="000000"/>
                <w:sz w:val="22"/>
                <w:szCs w:val="22"/>
                <w:lang w:eastAsia="es-MX"/>
              </w:rPr>
              <w:t>Indicador</w:t>
            </w:r>
          </w:p>
        </w:tc>
      </w:tr>
      <w:tr w:rsidR="004D4A90" w:rsidRPr="004D4A90" w:rsidTr="004D4A90">
        <w:trPr>
          <w:trHeight w:val="405"/>
        </w:trPr>
        <w:tc>
          <w:tcPr>
            <w:tcW w:w="2258" w:type="dxa"/>
            <w:tcBorders>
              <w:top w:val="nil"/>
              <w:left w:val="single" w:sz="8" w:space="0" w:color="548235"/>
              <w:bottom w:val="single" w:sz="8" w:space="0" w:color="548235"/>
              <w:right w:val="single" w:sz="8" w:space="0" w:color="548235"/>
            </w:tcBorders>
            <w:shd w:val="clear" w:color="000000" w:fill="D9D9D9"/>
            <w:vAlign w:val="center"/>
            <w:hideMark/>
          </w:tcPr>
          <w:p w:rsidR="004D4A90" w:rsidRPr="004D4A90" w:rsidRDefault="004D4A90" w:rsidP="004D4A90">
            <w:pPr>
              <w:jc w:val="center"/>
              <w:rPr>
                <w:b/>
                <w:bCs/>
                <w:color w:val="000000"/>
                <w:sz w:val="16"/>
                <w:szCs w:val="16"/>
                <w:lang w:eastAsia="es-MX"/>
              </w:rPr>
            </w:pPr>
            <w:r w:rsidRPr="004D4A90">
              <w:rPr>
                <w:b/>
                <w:bCs/>
                <w:color w:val="000000"/>
                <w:sz w:val="16"/>
                <w:szCs w:val="16"/>
                <w:lang w:eastAsia="es-MX"/>
              </w:rPr>
              <w:t>Nombre</w:t>
            </w:r>
          </w:p>
        </w:tc>
        <w:tc>
          <w:tcPr>
            <w:tcW w:w="2127" w:type="dxa"/>
            <w:tcBorders>
              <w:top w:val="nil"/>
              <w:left w:val="nil"/>
              <w:bottom w:val="single" w:sz="8" w:space="0" w:color="548235"/>
              <w:right w:val="single" w:sz="8" w:space="0" w:color="548235"/>
            </w:tcBorders>
            <w:shd w:val="clear" w:color="000000" w:fill="D9D9D9"/>
            <w:vAlign w:val="center"/>
            <w:hideMark/>
          </w:tcPr>
          <w:p w:rsidR="004D4A90" w:rsidRPr="004D4A90" w:rsidRDefault="004D4A90" w:rsidP="004D4A90">
            <w:pPr>
              <w:jc w:val="center"/>
              <w:rPr>
                <w:b/>
                <w:bCs/>
                <w:color w:val="000000"/>
                <w:sz w:val="16"/>
                <w:szCs w:val="16"/>
                <w:lang w:eastAsia="es-MX"/>
              </w:rPr>
            </w:pPr>
            <w:r w:rsidRPr="004D4A90">
              <w:rPr>
                <w:b/>
                <w:bCs/>
                <w:color w:val="000000"/>
                <w:sz w:val="16"/>
                <w:szCs w:val="16"/>
                <w:lang w:eastAsia="es-MX"/>
              </w:rPr>
              <w:t>Descripción general</w:t>
            </w:r>
          </w:p>
        </w:tc>
        <w:tc>
          <w:tcPr>
            <w:tcW w:w="1842" w:type="dxa"/>
            <w:tcBorders>
              <w:top w:val="nil"/>
              <w:left w:val="nil"/>
              <w:bottom w:val="single" w:sz="8" w:space="0" w:color="548235"/>
              <w:right w:val="single" w:sz="8" w:space="0" w:color="548235"/>
            </w:tcBorders>
            <w:shd w:val="clear" w:color="000000" w:fill="D9D9D9"/>
            <w:vAlign w:val="center"/>
            <w:hideMark/>
          </w:tcPr>
          <w:p w:rsidR="004D4A90" w:rsidRPr="004D4A90" w:rsidRDefault="004D4A90" w:rsidP="004D4A90">
            <w:pPr>
              <w:jc w:val="center"/>
              <w:rPr>
                <w:b/>
                <w:bCs/>
                <w:color w:val="000000"/>
                <w:sz w:val="16"/>
                <w:szCs w:val="16"/>
                <w:lang w:eastAsia="es-MX"/>
              </w:rPr>
            </w:pPr>
            <w:r w:rsidRPr="004D4A90">
              <w:rPr>
                <w:b/>
                <w:bCs/>
                <w:color w:val="000000"/>
                <w:sz w:val="16"/>
                <w:szCs w:val="16"/>
                <w:lang w:eastAsia="es-MX"/>
              </w:rPr>
              <w:t>Método de cálculo</w:t>
            </w:r>
          </w:p>
        </w:tc>
        <w:tc>
          <w:tcPr>
            <w:tcW w:w="1560" w:type="dxa"/>
            <w:tcBorders>
              <w:top w:val="nil"/>
              <w:left w:val="nil"/>
              <w:bottom w:val="single" w:sz="8" w:space="0" w:color="548235"/>
              <w:right w:val="single" w:sz="8" w:space="0" w:color="548235"/>
            </w:tcBorders>
            <w:shd w:val="clear" w:color="000000" w:fill="D9D9D9"/>
            <w:vAlign w:val="center"/>
            <w:hideMark/>
          </w:tcPr>
          <w:p w:rsidR="004D4A90" w:rsidRPr="004D4A90" w:rsidRDefault="004D4A90" w:rsidP="004D4A90">
            <w:pPr>
              <w:jc w:val="center"/>
              <w:rPr>
                <w:b/>
                <w:bCs/>
                <w:color w:val="000000"/>
                <w:sz w:val="16"/>
                <w:szCs w:val="16"/>
                <w:lang w:eastAsia="es-MX"/>
              </w:rPr>
            </w:pPr>
            <w:r w:rsidRPr="004D4A90">
              <w:rPr>
                <w:b/>
                <w:bCs/>
                <w:color w:val="000000"/>
                <w:sz w:val="16"/>
                <w:szCs w:val="16"/>
                <w:lang w:eastAsia="es-MX"/>
              </w:rPr>
              <w:t>Unidad de medida</w:t>
            </w:r>
          </w:p>
        </w:tc>
        <w:tc>
          <w:tcPr>
            <w:tcW w:w="1842" w:type="dxa"/>
            <w:tcBorders>
              <w:top w:val="nil"/>
              <w:left w:val="nil"/>
              <w:bottom w:val="single" w:sz="8" w:space="0" w:color="548235"/>
              <w:right w:val="single" w:sz="8" w:space="0" w:color="548235"/>
            </w:tcBorders>
            <w:shd w:val="clear" w:color="000000" w:fill="D9D9D9"/>
            <w:vAlign w:val="center"/>
            <w:hideMark/>
          </w:tcPr>
          <w:p w:rsidR="004D4A90" w:rsidRPr="004D4A90" w:rsidRDefault="004D4A90" w:rsidP="004D4A90">
            <w:pPr>
              <w:jc w:val="center"/>
              <w:rPr>
                <w:b/>
                <w:bCs/>
                <w:color w:val="000000"/>
                <w:sz w:val="16"/>
                <w:szCs w:val="16"/>
                <w:lang w:eastAsia="es-MX"/>
              </w:rPr>
            </w:pPr>
            <w:r w:rsidRPr="004D4A90">
              <w:rPr>
                <w:b/>
                <w:bCs/>
                <w:color w:val="000000"/>
                <w:sz w:val="16"/>
                <w:szCs w:val="16"/>
                <w:lang w:eastAsia="es-MX"/>
              </w:rPr>
              <w:t>Medio de verificación</w:t>
            </w:r>
          </w:p>
        </w:tc>
      </w:tr>
      <w:tr w:rsidR="004D4A90" w:rsidRPr="004D4A90" w:rsidTr="004D4A90">
        <w:trPr>
          <w:trHeight w:val="1397"/>
        </w:trPr>
        <w:tc>
          <w:tcPr>
            <w:tcW w:w="2258" w:type="dxa"/>
            <w:tcBorders>
              <w:top w:val="nil"/>
              <w:left w:val="single" w:sz="8" w:space="0" w:color="548235"/>
              <w:bottom w:val="single" w:sz="8" w:space="0" w:color="548235"/>
              <w:right w:val="single" w:sz="8" w:space="0" w:color="548235"/>
            </w:tcBorders>
            <w:shd w:val="clear" w:color="auto" w:fill="auto"/>
            <w:vAlign w:val="center"/>
            <w:hideMark/>
          </w:tcPr>
          <w:p w:rsidR="004D4A90" w:rsidRPr="004D4A90" w:rsidRDefault="004D4A90" w:rsidP="004D4A90">
            <w:pPr>
              <w:jc w:val="center"/>
              <w:rPr>
                <w:color w:val="000000"/>
                <w:sz w:val="16"/>
                <w:szCs w:val="16"/>
                <w:lang w:eastAsia="es-MX"/>
              </w:rPr>
            </w:pPr>
            <w:r w:rsidRPr="004D4A90">
              <w:rPr>
                <w:color w:val="000000"/>
                <w:sz w:val="16"/>
                <w:szCs w:val="16"/>
                <w:lang w:eastAsia="es-MX"/>
              </w:rPr>
              <w:t>Unidades administrativas  orientadas a objetivos estratégicos</w:t>
            </w:r>
          </w:p>
        </w:tc>
        <w:tc>
          <w:tcPr>
            <w:tcW w:w="2127" w:type="dxa"/>
            <w:tcBorders>
              <w:top w:val="single" w:sz="8" w:space="0" w:color="548235"/>
              <w:left w:val="nil"/>
              <w:bottom w:val="single" w:sz="8" w:space="0" w:color="548235"/>
              <w:right w:val="single" w:sz="8" w:space="0" w:color="548235"/>
            </w:tcBorders>
            <w:shd w:val="clear" w:color="auto" w:fill="auto"/>
            <w:vAlign w:val="center"/>
            <w:hideMark/>
          </w:tcPr>
          <w:p w:rsidR="004D4A90" w:rsidRPr="004D4A90" w:rsidRDefault="004D4A90" w:rsidP="004D4A90">
            <w:pPr>
              <w:jc w:val="center"/>
              <w:rPr>
                <w:color w:val="000000"/>
                <w:sz w:val="16"/>
                <w:szCs w:val="16"/>
                <w:lang w:eastAsia="es-MX"/>
              </w:rPr>
            </w:pPr>
            <w:r w:rsidRPr="004D4A90">
              <w:rPr>
                <w:color w:val="000000"/>
                <w:sz w:val="16"/>
                <w:szCs w:val="16"/>
                <w:lang w:eastAsia="es-MX"/>
              </w:rPr>
              <w:t>Porcentaje de unidades administrativas de la institución, orientadas a objetivos estratégicos  con respecto al total de unidades administrativas de la institución.</w:t>
            </w:r>
          </w:p>
        </w:tc>
        <w:tc>
          <w:tcPr>
            <w:tcW w:w="1842" w:type="dxa"/>
            <w:tcBorders>
              <w:top w:val="single" w:sz="8" w:space="0" w:color="548235"/>
              <w:left w:val="nil"/>
              <w:bottom w:val="single" w:sz="8" w:space="0" w:color="548235"/>
              <w:right w:val="single" w:sz="8" w:space="0" w:color="548235"/>
            </w:tcBorders>
            <w:shd w:val="clear" w:color="auto" w:fill="auto"/>
            <w:vAlign w:val="center"/>
            <w:hideMark/>
          </w:tcPr>
          <w:p w:rsidR="004D4A90" w:rsidRPr="004D4A90" w:rsidRDefault="004D4A90" w:rsidP="004D4A90">
            <w:pPr>
              <w:jc w:val="center"/>
              <w:rPr>
                <w:color w:val="000000"/>
                <w:sz w:val="16"/>
                <w:szCs w:val="16"/>
                <w:lang w:eastAsia="es-MX"/>
              </w:rPr>
            </w:pPr>
            <w:r w:rsidRPr="004D4A90">
              <w:rPr>
                <w:color w:val="000000"/>
                <w:sz w:val="16"/>
                <w:szCs w:val="16"/>
                <w:lang w:eastAsia="es-MX"/>
              </w:rPr>
              <w:t>(Número de unidades administrativas de la Institución orientadas a objetivos estratégicos/ Total de unidades administrativas de la institución) *100</w:t>
            </w:r>
          </w:p>
        </w:tc>
        <w:tc>
          <w:tcPr>
            <w:tcW w:w="1560" w:type="dxa"/>
            <w:tcBorders>
              <w:top w:val="single" w:sz="8" w:space="0" w:color="548235"/>
              <w:left w:val="nil"/>
              <w:bottom w:val="single" w:sz="8" w:space="0" w:color="548235"/>
              <w:right w:val="single" w:sz="8" w:space="0" w:color="548235"/>
            </w:tcBorders>
            <w:shd w:val="clear" w:color="auto" w:fill="auto"/>
            <w:vAlign w:val="center"/>
            <w:hideMark/>
          </w:tcPr>
          <w:p w:rsidR="004D4A90" w:rsidRPr="004D4A90" w:rsidRDefault="004D4A90" w:rsidP="004D4A90">
            <w:pPr>
              <w:jc w:val="center"/>
              <w:rPr>
                <w:color w:val="000000"/>
                <w:sz w:val="16"/>
                <w:szCs w:val="16"/>
                <w:lang w:eastAsia="es-MX"/>
              </w:rPr>
            </w:pPr>
            <w:r w:rsidRPr="004D4A90">
              <w:rPr>
                <w:color w:val="000000"/>
                <w:sz w:val="16"/>
                <w:szCs w:val="16"/>
                <w:lang w:eastAsia="es-MX"/>
              </w:rPr>
              <w:t>Porcentaje</w:t>
            </w:r>
          </w:p>
        </w:tc>
        <w:tc>
          <w:tcPr>
            <w:tcW w:w="1842" w:type="dxa"/>
            <w:tcBorders>
              <w:top w:val="single" w:sz="8" w:space="0" w:color="548235"/>
              <w:left w:val="nil"/>
              <w:bottom w:val="single" w:sz="8" w:space="0" w:color="548235"/>
              <w:right w:val="single" w:sz="8" w:space="0" w:color="548235"/>
            </w:tcBorders>
            <w:shd w:val="clear" w:color="auto" w:fill="auto"/>
            <w:vAlign w:val="center"/>
            <w:hideMark/>
          </w:tcPr>
          <w:p w:rsidR="004D4A90" w:rsidRPr="004D4A90" w:rsidRDefault="004D4A90" w:rsidP="004D4A90">
            <w:pPr>
              <w:jc w:val="center"/>
              <w:rPr>
                <w:color w:val="000000"/>
                <w:sz w:val="16"/>
                <w:szCs w:val="16"/>
                <w:lang w:eastAsia="es-MX"/>
              </w:rPr>
            </w:pPr>
            <w:r w:rsidRPr="004D4A90">
              <w:rPr>
                <w:color w:val="000000"/>
                <w:sz w:val="16"/>
                <w:szCs w:val="16"/>
                <w:lang w:eastAsia="es-MX"/>
              </w:rPr>
              <w:t>Registros de información enviada a la UPRHAPF</w:t>
            </w:r>
          </w:p>
        </w:tc>
      </w:tr>
    </w:tbl>
    <w:p w:rsidR="004D4A90" w:rsidRDefault="004D4A90" w:rsidP="00C1025B">
      <w:pPr>
        <w:jc w:val="both"/>
        <w:rPr>
          <w:rFonts w:cs="Times New Roman"/>
          <w:sz w:val="22"/>
          <w:szCs w:val="22"/>
        </w:rPr>
      </w:pPr>
    </w:p>
    <w:p w:rsidR="00C1025B" w:rsidRDefault="00C1025B" w:rsidP="00C1025B">
      <w:pPr>
        <w:jc w:val="both"/>
        <w:rPr>
          <w:rFonts w:cs="Times New Roman"/>
          <w:sz w:val="22"/>
          <w:szCs w:val="22"/>
        </w:rPr>
      </w:pPr>
    </w:p>
    <w:p w:rsidR="00C1025B" w:rsidRDefault="00C1025B" w:rsidP="00C1025B">
      <w:pPr>
        <w:jc w:val="both"/>
        <w:rPr>
          <w:rFonts w:cs="Times New Roman"/>
          <w:sz w:val="22"/>
          <w:szCs w:val="22"/>
        </w:rPr>
      </w:pPr>
      <w:r>
        <w:rPr>
          <w:rFonts w:cs="Times New Roman"/>
          <w:sz w:val="22"/>
          <w:szCs w:val="22"/>
        </w:rPr>
        <w:lastRenderedPageBreak/>
        <w:t xml:space="preserve">Para </w:t>
      </w:r>
      <w:r w:rsidR="00E65C96">
        <w:rPr>
          <w:rFonts w:cs="Times New Roman"/>
          <w:sz w:val="22"/>
          <w:szCs w:val="22"/>
        </w:rPr>
        <w:t xml:space="preserve">el </w:t>
      </w:r>
      <w:r>
        <w:rPr>
          <w:rFonts w:cs="Times New Roman"/>
          <w:sz w:val="22"/>
          <w:szCs w:val="22"/>
        </w:rPr>
        <w:t xml:space="preserve">cálculo del indicador </w:t>
      </w:r>
      <w:r w:rsidR="009E1332" w:rsidRPr="004D4A90">
        <w:rPr>
          <w:rFonts w:cs="Times New Roman"/>
          <w:i/>
          <w:sz w:val="22"/>
          <w:szCs w:val="22"/>
        </w:rPr>
        <w:t>Unidades administrativas  orientadas a objetivos estratégicos</w:t>
      </w:r>
      <w:r w:rsidR="00BC557F">
        <w:rPr>
          <w:rFonts w:cs="Times New Roman"/>
          <w:sz w:val="22"/>
          <w:szCs w:val="22"/>
        </w:rPr>
        <w:t xml:space="preserve">, </w:t>
      </w:r>
      <w:r>
        <w:rPr>
          <w:rFonts w:cs="Times New Roman"/>
          <w:sz w:val="22"/>
          <w:szCs w:val="22"/>
        </w:rPr>
        <w:t>se deben con</w:t>
      </w:r>
      <w:r w:rsidR="00BC557F">
        <w:rPr>
          <w:rFonts w:cs="Times New Roman"/>
          <w:sz w:val="22"/>
          <w:szCs w:val="22"/>
        </w:rPr>
        <w:t>siderar</w:t>
      </w:r>
      <w:r w:rsidR="009E1332">
        <w:rPr>
          <w:rFonts w:cs="Times New Roman"/>
          <w:sz w:val="22"/>
          <w:szCs w:val="22"/>
        </w:rPr>
        <w:t xml:space="preserve"> las Unidades administrativas existentes en la última estructura registrada ante la SFP. Cabe señalar que para la identificación de Unidades administrativas se debe considerar lo establecido en los Criterios Técnicos para el Seguimiento del PGCM en materia de Organización, Profesionalización y Recursos Humanos. </w:t>
      </w:r>
      <w:r w:rsidR="00BC557F">
        <w:rPr>
          <w:rFonts w:cs="Times New Roman"/>
          <w:sz w:val="22"/>
          <w:szCs w:val="22"/>
        </w:rPr>
        <w:t xml:space="preserve"> </w:t>
      </w:r>
    </w:p>
    <w:p w:rsidR="00C1025B" w:rsidRDefault="00C1025B" w:rsidP="00C1025B">
      <w:pPr>
        <w:jc w:val="both"/>
        <w:rPr>
          <w:rFonts w:cs="Times New Roman"/>
          <w:sz w:val="22"/>
          <w:szCs w:val="22"/>
        </w:rPr>
      </w:pPr>
    </w:p>
    <w:p w:rsidR="00C1025B" w:rsidRDefault="009E1332" w:rsidP="00C1025B">
      <w:pPr>
        <w:jc w:val="both"/>
        <w:rPr>
          <w:rFonts w:cs="Times New Roman"/>
          <w:sz w:val="22"/>
          <w:szCs w:val="22"/>
        </w:rPr>
      </w:pPr>
      <w:r>
        <w:rPr>
          <w:rFonts w:cs="Times New Roman"/>
          <w:sz w:val="22"/>
          <w:szCs w:val="22"/>
        </w:rPr>
        <w:t xml:space="preserve">El valor para el </w:t>
      </w:r>
      <w:r w:rsidRPr="009E1332">
        <w:rPr>
          <w:rFonts w:cs="Times New Roman"/>
          <w:b/>
          <w:sz w:val="22"/>
          <w:szCs w:val="22"/>
        </w:rPr>
        <w:t>T</w:t>
      </w:r>
      <w:r w:rsidR="00946E0A">
        <w:rPr>
          <w:rFonts w:cs="Times New Roman"/>
          <w:b/>
          <w:sz w:val="22"/>
          <w:szCs w:val="22"/>
        </w:rPr>
        <w:t xml:space="preserve">OTAL DE UNIDADES ADMINISTRATIVAS DE LA INSTITUCIÓN </w:t>
      </w:r>
      <w:r>
        <w:rPr>
          <w:rFonts w:cs="Times New Roman"/>
          <w:sz w:val="22"/>
          <w:szCs w:val="22"/>
        </w:rPr>
        <w:t>corresponderá al total de unidades administrativas registradas en la estructura ante la SFP.</w:t>
      </w:r>
    </w:p>
    <w:p w:rsidR="009E1332" w:rsidRDefault="009E1332" w:rsidP="00C1025B">
      <w:pPr>
        <w:jc w:val="both"/>
        <w:rPr>
          <w:rFonts w:cs="Times New Roman"/>
          <w:sz w:val="22"/>
          <w:szCs w:val="22"/>
        </w:rPr>
      </w:pPr>
    </w:p>
    <w:p w:rsidR="009E1332" w:rsidRDefault="009E1332" w:rsidP="00C1025B">
      <w:pPr>
        <w:jc w:val="both"/>
        <w:rPr>
          <w:rFonts w:cs="Times New Roman"/>
          <w:sz w:val="22"/>
          <w:szCs w:val="22"/>
        </w:rPr>
      </w:pPr>
      <w:r>
        <w:rPr>
          <w:rFonts w:cs="Times New Roman"/>
          <w:sz w:val="22"/>
          <w:szCs w:val="22"/>
        </w:rPr>
        <w:t>En caso de que la Institución no cuente con registro de estructura, automáticamente el valor del indicador es cero.</w:t>
      </w:r>
    </w:p>
    <w:p w:rsidR="009E1332" w:rsidRDefault="009E1332" w:rsidP="00C1025B">
      <w:pPr>
        <w:jc w:val="both"/>
        <w:rPr>
          <w:rFonts w:cs="Times New Roman"/>
          <w:sz w:val="22"/>
          <w:szCs w:val="22"/>
        </w:rPr>
      </w:pPr>
    </w:p>
    <w:p w:rsidR="009E1332" w:rsidRPr="00946E0A" w:rsidRDefault="009E1332" w:rsidP="00946E0A">
      <w:pPr>
        <w:pStyle w:val="Prrafodelista"/>
        <w:numPr>
          <w:ilvl w:val="0"/>
          <w:numId w:val="28"/>
        </w:numPr>
        <w:ind w:left="426" w:hanging="426"/>
        <w:jc w:val="both"/>
        <w:rPr>
          <w:rFonts w:cs="Times New Roman"/>
          <w:sz w:val="22"/>
          <w:szCs w:val="22"/>
        </w:rPr>
      </w:pPr>
      <w:r w:rsidRPr="00946E0A">
        <w:rPr>
          <w:rFonts w:cs="Times New Roman"/>
          <w:sz w:val="22"/>
          <w:szCs w:val="22"/>
        </w:rPr>
        <w:t xml:space="preserve">El </w:t>
      </w:r>
      <w:r w:rsidR="00946E0A" w:rsidRPr="00946E0A">
        <w:rPr>
          <w:rFonts w:cs="Times New Roman"/>
          <w:b/>
          <w:sz w:val="22"/>
          <w:szCs w:val="22"/>
        </w:rPr>
        <w:t>NÚMERO DE</w:t>
      </w:r>
      <w:r w:rsidRPr="00946E0A">
        <w:rPr>
          <w:rFonts w:cs="Times New Roman"/>
          <w:b/>
          <w:sz w:val="22"/>
          <w:szCs w:val="22"/>
        </w:rPr>
        <w:t xml:space="preserve"> </w:t>
      </w:r>
      <w:r w:rsidR="00946E0A">
        <w:rPr>
          <w:rFonts w:cs="Times New Roman"/>
          <w:b/>
          <w:sz w:val="22"/>
          <w:szCs w:val="22"/>
        </w:rPr>
        <w:t>UNIDADES ADMINISTRATIVAS DE LA INSTITUCIÓN</w:t>
      </w:r>
      <w:r w:rsidR="00946E0A" w:rsidRPr="00946E0A">
        <w:rPr>
          <w:rFonts w:cs="Times New Roman"/>
          <w:b/>
          <w:sz w:val="22"/>
          <w:szCs w:val="22"/>
        </w:rPr>
        <w:t xml:space="preserve"> </w:t>
      </w:r>
      <w:r w:rsidR="00946E0A">
        <w:rPr>
          <w:rFonts w:cs="Times New Roman"/>
          <w:b/>
          <w:sz w:val="22"/>
          <w:szCs w:val="22"/>
        </w:rPr>
        <w:t>ORIENTADAS A OBJETIVOS ESTRATÉGICOS</w:t>
      </w:r>
      <w:r w:rsidRPr="00946E0A">
        <w:rPr>
          <w:rFonts w:cs="Times New Roman"/>
          <w:sz w:val="22"/>
          <w:szCs w:val="22"/>
        </w:rPr>
        <w:t xml:space="preserve">, se obtendrá contabilizando las unidades administrativas que cumplen con lo establecido en los Criterios Técnicos para el Seguimiento del PGCM en materia de Organización, Profesionalización y Recursos Humanos. </w:t>
      </w:r>
    </w:p>
    <w:p w:rsidR="009E1332" w:rsidRDefault="009E1332" w:rsidP="00C1025B">
      <w:pPr>
        <w:jc w:val="both"/>
        <w:rPr>
          <w:rFonts w:cs="Times New Roman"/>
          <w:sz w:val="22"/>
          <w:szCs w:val="22"/>
        </w:rPr>
      </w:pPr>
    </w:p>
    <w:p w:rsidR="006B682F" w:rsidRDefault="009E1332" w:rsidP="00C1025B">
      <w:pPr>
        <w:jc w:val="both"/>
        <w:rPr>
          <w:rFonts w:cs="Times New Roman"/>
          <w:sz w:val="22"/>
          <w:szCs w:val="22"/>
        </w:rPr>
      </w:pPr>
      <w:r>
        <w:rPr>
          <w:rFonts w:cs="Times New Roman"/>
          <w:sz w:val="22"/>
          <w:szCs w:val="22"/>
        </w:rPr>
        <w:t>Cabe señalar que la orientación a objetivos estratégicos de una Unidad Administrativa es independiente de la naturaleza sustantiva o administrativa de la mi</w:t>
      </w:r>
      <w:r w:rsidR="00A92B3D">
        <w:rPr>
          <w:rFonts w:cs="Times New Roman"/>
          <w:sz w:val="22"/>
          <w:szCs w:val="22"/>
        </w:rPr>
        <w:t>sma, es decir, si la Oficialía M</w:t>
      </w:r>
      <w:r>
        <w:rPr>
          <w:rFonts w:cs="Times New Roman"/>
          <w:sz w:val="22"/>
          <w:szCs w:val="22"/>
        </w:rPr>
        <w:t xml:space="preserve">ayor cumple con al menos uno de los criterios establecidos, se </w:t>
      </w:r>
      <w:r w:rsidR="006B682F">
        <w:rPr>
          <w:rFonts w:cs="Times New Roman"/>
          <w:sz w:val="22"/>
          <w:szCs w:val="22"/>
        </w:rPr>
        <w:t>contabilizará como orientada a objetivos estratégicos:</w:t>
      </w:r>
    </w:p>
    <w:p w:rsidR="00A92B3D" w:rsidRDefault="00A92B3D" w:rsidP="00C1025B">
      <w:pPr>
        <w:jc w:val="both"/>
        <w:rPr>
          <w:rFonts w:cs="Times New Roman"/>
          <w:sz w:val="22"/>
          <w:szCs w:val="22"/>
        </w:rPr>
      </w:pPr>
    </w:p>
    <w:p w:rsidR="00A92B3D" w:rsidRDefault="00A92B3D" w:rsidP="00C1025B">
      <w:pPr>
        <w:jc w:val="both"/>
        <w:rPr>
          <w:rFonts w:cs="Times New Roman"/>
          <w:sz w:val="22"/>
          <w:szCs w:val="22"/>
        </w:rPr>
      </w:pPr>
    </w:p>
    <w:p w:rsidR="00A92B3D" w:rsidRDefault="00A92B3D" w:rsidP="00C1025B">
      <w:pPr>
        <w:jc w:val="both"/>
        <w:rPr>
          <w:rFonts w:cs="Times New Roman"/>
          <w:sz w:val="22"/>
          <w:szCs w:val="22"/>
        </w:rPr>
      </w:pPr>
    </w:p>
    <w:p w:rsidR="00A92B3D" w:rsidRDefault="00A92B3D" w:rsidP="00C1025B">
      <w:pPr>
        <w:jc w:val="both"/>
        <w:rPr>
          <w:rFonts w:cs="Times New Roman"/>
          <w:sz w:val="22"/>
          <w:szCs w:val="22"/>
        </w:rPr>
      </w:pPr>
    </w:p>
    <w:p w:rsidR="006B682F" w:rsidRDefault="006B682F" w:rsidP="006B682F">
      <w:pPr>
        <w:pStyle w:val="Default"/>
      </w:pPr>
    </w:p>
    <w:p w:rsidR="006B682F" w:rsidRDefault="006B682F" w:rsidP="00946E0A">
      <w:pPr>
        <w:pStyle w:val="Default"/>
        <w:numPr>
          <w:ilvl w:val="0"/>
          <w:numId w:val="27"/>
        </w:numPr>
        <w:spacing w:after="34"/>
        <w:rPr>
          <w:sz w:val="22"/>
          <w:szCs w:val="22"/>
        </w:rPr>
      </w:pPr>
      <w:r>
        <w:rPr>
          <w:sz w:val="22"/>
          <w:szCs w:val="22"/>
        </w:rPr>
        <w:t xml:space="preserve">Debe de contar con sustento jurídico normativo y atribuciones específicas. </w:t>
      </w:r>
    </w:p>
    <w:p w:rsidR="00946E0A" w:rsidRDefault="00946E0A" w:rsidP="00946E0A">
      <w:pPr>
        <w:pStyle w:val="Default"/>
        <w:spacing w:after="34"/>
        <w:ind w:left="720"/>
        <w:rPr>
          <w:sz w:val="22"/>
          <w:szCs w:val="22"/>
        </w:rPr>
      </w:pPr>
    </w:p>
    <w:p w:rsidR="006B682F" w:rsidRDefault="006B682F" w:rsidP="00946E0A">
      <w:pPr>
        <w:pStyle w:val="Default"/>
        <w:numPr>
          <w:ilvl w:val="0"/>
          <w:numId w:val="27"/>
        </w:numPr>
        <w:spacing w:after="34"/>
        <w:rPr>
          <w:sz w:val="22"/>
          <w:szCs w:val="22"/>
        </w:rPr>
      </w:pPr>
      <w:r>
        <w:rPr>
          <w:sz w:val="22"/>
          <w:szCs w:val="22"/>
        </w:rPr>
        <w:t xml:space="preserve">Debe existir una alineación con el PND, y/o estructura programática </w:t>
      </w:r>
    </w:p>
    <w:p w:rsidR="00946E0A" w:rsidRDefault="00946E0A" w:rsidP="00946E0A">
      <w:pPr>
        <w:pStyle w:val="Default"/>
        <w:spacing w:after="34"/>
        <w:rPr>
          <w:sz w:val="22"/>
          <w:szCs w:val="22"/>
        </w:rPr>
      </w:pPr>
    </w:p>
    <w:p w:rsidR="006B682F" w:rsidRDefault="006B682F" w:rsidP="00946E0A">
      <w:pPr>
        <w:pStyle w:val="Default"/>
        <w:numPr>
          <w:ilvl w:val="0"/>
          <w:numId w:val="27"/>
        </w:numPr>
        <w:spacing w:after="34"/>
        <w:rPr>
          <w:sz w:val="22"/>
          <w:szCs w:val="22"/>
        </w:rPr>
      </w:pPr>
      <w:r>
        <w:rPr>
          <w:sz w:val="22"/>
          <w:szCs w:val="22"/>
        </w:rPr>
        <w:t xml:space="preserve">Debe existir una vinculación con la Planeación Institucional para el logro de objetivos. </w:t>
      </w:r>
    </w:p>
    <w:p w:rsidR="00946E0A" w:rsidRDefault="00946E0A" w:rsidP="00946E0A">
      <w:pPr>
        <w:pStyle w:val="Prrafodelista"/>
        <w:rPr>
          <w:sz w:val="22"/>
          <w:szCs w:val="22"/>
        </w:rPr>
      </w:pPr>
    </w:p>
    <w:p w:rsidR="006B682F" w:rsidRPr="00946E0A" w:rsidRDefault="006B682F" w:rsidP="006B682F">
      <w:pPr>
        <w:pStyle w:val="Default"/>
        <w:numPr>
          <w:ilvl w:val="0"/>
          <w:numId w:val="27"/>
        </w:numPr>
        <w:spacing w:after="34"/>
        <w:rPr>
          <w:sz w:val="22"/>
          <w:szCs w:val="22"/>
        </w:rPr>
      </w:pPr>
      <w:r w:rsidRPr="00946E0A">
        <w:rPr>
          <w:sz w:val="22"/>
          <w:szCs w:val="22"/>
        </w:rPr>
        <w:t xml:space="preserve"> Debe estar directamente vinculado con al menos un objetivo estratégico de acuerdo con su mapa de objetivos estratégicos </w:t>
      </w:r>
    </w:p>
    <w:p w:rsidR="006B682F" w:rsidRDefault="006B682F" w:rsidP="00C1025B">
      <w:pPr>
        <w:jc w:val="both"/>
        <w:rPr>
          <w:rFonts w:cs="Times New Roman"/>
          <w:sz w:val="22"/>
          <w:szCs w:val="22"/>
        </w:rPr>
      </w:pPr>
    </w:p>
    <w:p w:rsidR="00946E0A" w:rsidRDefault="00946E0A" w:rsidP="00C1025B">
      <w:pPr>
        <w:jc w:val="both"/>
        <w:rPr>
          <w:rFonts w:cs="Times New Roman"/>
          <w:sz w:val="22"/>
          <w:szCs w:val="22"/>
        </w:rPr>
      </w:pPr>
    </w:p>
    <w:p w:rsidR="00A92B3D" w:rsidRDefault="00A92B3D" w:rsidP="00C1025B">
      <w:pPr>
        <w:jc w:val="both"/>
        <w:rPr>
          <w:rFonts w:cs="Times New Roman"/>
          <w:sz w:val="22"/>
          <w:szCs w:val="22"/>
        </w:rPr>
      </w:pPr>
    </w:p>
    <w:p w:rsidR="00A92B3D" w:rsidRDefault="00A92B3D" w:rsidP="00C1025B">
      <w:pPr>
        <w:jc w:val="both"/>
        <w:rPr>
          <w:rFonts w:cs="Times New Roman"/>
          <w:sz w:val="22"/>
          <w:szCs w:val="22"/>
        </w:rPr>
      </w:pPr>
    </w:p>
    <w:p w:rsidR="00946E0A" w:rsidRDefault="00946E0A" w:rsidP="00C1025B">
      <w:pPr>
        <w:jc w:val="both"/>
        <w:rPr>
          <w:rFonts w:cs="Times New Roman"/>
          <w:sz w:val="22"/>
          <w:szCs w:val="22"/>
        </w:rPr>
      </w:pPr>
    </w:p>
    <w:p w:rsidR="00946E0A" w:rsidRDefault="00946E0A" w:rsidP="00C1025B">
      <w:pPr>
        <w:jc w:val="both"/>
        <w:rPr>
          <w:rFonts w:cs="Times New Roman"/>
          <w:sz w:val="22"/>
          <w:szCs w:val="22"/>
        </w:rPr>
      </w:pPr>
    </w:p>
    <w:p w:rsidR="009E1332" w:rsidRDefault="006B682F" w:rsidP="00C1025B">
      <w:pPr>
        <w:jc w:val="both"/>
        <w:rPr>
          <w:rFonts w:cs="Times New Roman"/>
          <w:sz w:val="22"/>
          <w:szCs w:val="22"/>
        </w:rPr>
      </w:pPr>
      <w:r>
        <w:rPr>
          <w:rFonts w:cs="Times New Roman"/>
          <w:sz w:val="22"/>
          <w:szCs w:val="22"/>
        </w:rPr>
        <w:t>Para la anterior se pueden apoyar en la siguiente tabla:</w:t>
      </w:r>
      <w:r w:rsidR="009E1332">
        <w:rPr>
          <w:rFonts w:cs="Times New Roman"/>
          <w:sz w:val="22"/>
          <w:szCs w:val="22"/>
        </w:rPr>
        <w:t xml:space="preserve"> </w:t>
      </w:r>
    </w:p>
    <w:p w:rsidR="00A92B3D" w:rsidRDefault="00A92B3D" w:rsidP="00C1025B">
      <w:pPr>
        <w:jc w:val="both"/>
        <w:rPr>
          <w:rFonts w:cs="Times New Roman"/>
          <w:sz w:val="22"/>
          <w:szCs w:val="22"/>
        </w:rPr>
      </w:pPr>
    </w:p>
    <w:p w:rsidR="00A92B3D" w:rsidRDefault="00A92B3D" w:rsidP="00C1025B">
      <w:pPr>
        <w:jc w:val="both"/>
        <w:rPr>
          <w:rFonts w:cs="Times New Roman"/>
          <w:sz w:val="22"/>
          <w:szCs w:val="22"/>
        </w:rPr>
      </w:pPr>
    </w:p>
    <w:p w:rsidR="00C1025B" w:rsidRPr="00C43E0B" w:rsidRDefault="00C1025B" w:rsidP="00C1025B">
      <w:pPr>
        <w:pStyle w:val="Prrafodelista"/>
        <w:ind w:left="1068"/>
        <w:jc w:val="both"/>
        <w:rPr>
          <w:rFonts w:cs="Times New Roman"/>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252"/>
        <w:gridCol w:w="1725"/>
        <w:gridCol w:w="1701"/>
        <w:gridCol w:w="1559"/>
        <w:gridCol w:w="1560"/>
      </w:tblGrid>
      <w:tr w:rsidR="006B682F" w:rsidRPr="009F2A7E" w:rsidTr="006B682F">
        <w:trPr>
          <w:trHeight w:val="288"/>
          <w:jc w:val="center"/>
        </w:trPr>
        <w:tc>
          <w:tcPr>
            <w:tcW w:w="2263" w:type="dxa"/>
            <w:shd w:val="clear" w:color="auto" w:fill="D9D9D9" w:themeFill="background1" w:themeFillShade="D9"/>
            <w:noWrap/>
            <w:vAlign w:val="bottom"/>
            <w:hideMark/>
          </w:tcPr>
          <w:p w:rsidR="006B682F" w:rsidRPr="009F2A7E" w:rsidRDefault="006B682F" w:rsidP="00E65C96">
            <w:pPr>
              <w:jc w:val="center"/>
              <w:rPr>
                <w:rFonts w:ascii="Calibri" w:hAnsi="Calibri" w:cs="Times New Roman"/>
                <w:color w:val="000000"/>
                <w:sz w:val="22"/>
                <w:szCs w:val="22"/>
              </w:rPr>
            </w:pPr>
            <w:r>
              <w:rPr>
                <w:rFonts w:ascii="Calibri" w:hAnsi="Calibri" w:cs="Times New Roman"/>
                <w:color w:val="000000"/>
                <w:sz w:val="22"/>
                <w:szCs w:val="22"/>
              </w:rPr>
              <w:t>Unidad Administrativa (de conformidad con la estructura registrada ante la SFP</w:t>
            </w:r>
          </w:p>
        </w:tc>
        <w:tc>
          <w:tcPr>
            <w:tcW w:w="1252" w:type="dxa"/>
            <w:shd w:val="clear" w:color="auto" w:fill="D9D9D9" w:themeFill="background1" w:themeFillShade="D9"/>
            <w:noWrap/>
            <w:vAlign w:val="center"/>
            <w:hideMark/>
          </w:tcPr>
          <w:p w:rsidR="006B682F" w:rsidRPr="009F2A7E" w:rsidRDefault="006B682F" w:rsidP="00E65C96">
            <w:pPr>
              <w:jc w:val="center"/>
              <w:rPr>
                <w:rFonts w:ascii="Calibri" w:hAnsi="Calibri" w:cs="Times New Roman"/>
                <w:color w:val="000000"/>
                <w:sz w:val="22"/>
                <w:szCs w:val="22"/>
              </w:rPr>
            </w:pPr>
            <w:r>
              <w:rPr>
                <w:rFonts w:ascii="Calibri" w:hAnsi="Calibri" w:cs="Times New Roman"/>
                <w:color w:val="000000"/>
                <w:sz w:val="22"/>
                <w:szCs w:val="22"/>
              </w:rPr>
              <w:t xml:space="preserve">Cuenta con sustento </w:t>
            </w:r>
          </w:p>
        </w:tc>
        <w:tc>
          <w:tcPr>
            <w:tcW w:w="1725" w:type="dxa"/>
            <w:shd w:val="clear" w:color="auto" w:fill="D9D9D9" w:themeFill="background1" w:themeFillShade="D9"/>
            <w:noWrap/>
            <w:vAlign w:val="center"/>
            <w:hideMark/>
          </w:tcPr>
          <w:p w:rsidR="006B682F" w:rsidRPr="009F2A7E" w:rsidRDefault="006B682F" w:rsidP="00E65C96">
            <w:pPr>
              <w:jc w:val="center"/>
              <w:rPr>
                <w:rFonts w:ascii="Calibri" w:hAnsi="Calibri" w:cs="Times New Roman"/>
                <w:color w:val="000000"/>
                <w:sz w:val="22"/>
                <w:szCs w:val="22"/>
              </w:rPr>
            </w:pPr>
            <w:r>
              <w:rPr>
                <w:rFonts w:ascii="Calibri" w:hAnsi="Calibri" w:cs="Times New Roman"/>
                <w:color w:val="000000"/>
                <w:sz w:val="22"/>
                <w:szCs w:val="22"/>
              </w:rPr>
              <w:t>Está alineado a PND y/o estructura programática</w:t>
            </w:r>
          </w:p>
        </w:tc>
        <w:tc>
          <w:tcPr>
            <w:tcW w:w="1701" w:type="dxa"/>
            <w:shd w:val="clear" w:color="auto" w:fill="D9D9D9" w:themeFill="background1" w:themeFillShade="D9"/>
            <w:noWrap/>
            <w:vAlign w:val="center"/>
            <w:hideMark/>
          </w:tcPr>
          <w:p w:rsidR="006B682F" w:rsidRPr="009F2A7E" w:rsidRDefault="006B682F" w:rsidP="00E65C96">
            <w:pPr>
              <w:jc w:val="center"/>
              <w:rPr>
                <w:rFonts w:ascii="Calibri" w:hAnsi="Calibri" w:cs="Times New Roman"/>
                <w:color w:val="000000"/>
                <w:sz w:val="22"/>
                <w:szCs w:val="22"/>
              </w:rPr>
            </w:pPr>
            <w:r>
              <w:rPr>
                <w:rFonts w:ascii="Calibri" w:hAnsi="Calibri" w:cs="Times New Roman"/>
                <w:color w:val="000000"/>
                <w:sz w:val="22"/>
                <w:szCs w:val="22"/>
              </w:rPr>
              <w:t>Está vinculado con la Planeación Institucional</w:t>
            </w:r>
          </w:p>
        </w:tc>
        <w:tc>
          <w:tcPr>
            <w:tcW w:w="1559" w:type="dxa"/>
            <w:shd w:val="clear" w:color="auto" w:fill="D9D9D9" w:themeFill="background1" w:themeFillShade="D9"/>
            <w:noWrap/>
            <w:vAlign w:val="center"/>
            <w:hideMark/>
          </w:tcPr>
          <w:p w:rsidR="006B682F" w:rsidRPr="009F2A7E" w:rsidRDefault="006B682F" w:rsidP="00E65C96">
            <w:pPr>
              <w:jc w:val="center"/>
              <w:rPr>
                <w:rFonts w:ascii="Calibri" w:hAnsi="Calibri" w:cs="Times New Roman"/>
                <w:color w:val="000000"/>
                <w:sz w:val="22"/>
                <w:szCs w:val="22"/>
              </w:rPr>
            </w:pPr>
            <w:r>
              <w:rPr>
                <w:rFonts w:ascii="Calibri" w:hAnsi="Calibri" w:cs="Times New Roman"/>
                <w:color w:val="000000"/>
                <w:sz w:val="22"/>
                <w:szCs w:val="22"/>
              </w:rPr>
              <w:t>Está directamente vinculado con al menos un objetivo estratégico</w:t>
            </w:r>
          </w:p>
        </w:tc>
        <w:tc>
          <w:tcPr>
            <w:tcW w:w="1560" w:type="dxa"/>
            <w:shd w:val="clear" w:color="auto" w:fill="D9D9D9" w:themeFill="background1" w:themeFillShade="D9"/>
            <w:noWrap/>
            <w:vAlign w:val="center"/>
            <w:hideMark/>
          </w:tcPr>
          <w:p w:rsidR="006B682F" w:rsidRPr="009F2A7E" w:rsidRDefault="006B682F" w:rsidP="006B682F">
            <w:pPr>
              <w:jc w:val="center"/>
              <w:rPr>
                <w:rFonts w:ascii="Calibri" w:hAnsi="Calibri" w:cs="Times New Roman"/>
                <w:color w:val="000000"/>
                <w:sz w:val="22"/>
                <w:szCs w:val="22"/>
              </w:rPr>
            </w:pPr>
            <w:r w:rsidRPr="009F2A7E">
              <w:rPr>
                <w:rFonts w:ascii="Calibri" w:hAnsi="Calibri" w:cs="Times New Roman"/>
                <w:color w:val="000000"/>
                <w:sz w:val="22"/>
                <w:szCs w:val="22"/>
              </w:rPr>
              <w:t>Resultado</w:t>
            </w:r>
            <w:r>
              <w:rPr>
                <w:rFonts w:ascii="Calibri" w:hAnsi="Calibri" w:cs="Times New Roman"/>
                <w:color w:val="000000"/>
                <w:sz w:val="22"/>
                <w:szCs w:val="22"/>
              </w:rPr>
              <w:t xml:space="preserve"> *</w:t>
            </w:r>
          </w:p>
        </w:tc>
      </w:tr>
      <w:tr w:rsidR="006B682F" w:rsidRPr="009F2A7E" w:rsidTr="006B682F">
        <w:trPr>
          <w:trHeight w:val="288"/>
          <w:jc w:val="center"/>
        </w:trPr>
        <w:tc>
          <w:tcPr>
            <w:tcW w:w="2263" w:type="dxa"/>
            <w:shd w:val="clear" w:color="auto" w:fill="auto"/>
            <w:noWrap/>
            <w:vAlign w:val="bottom"/>
            <w:hideMark/>
          </w:tcPr>
          <w:p w:rsidR="006B682F" w:rsidRPr="009F2A7E" w:rsidRDefault="006B682F" w:rsidP="00291774">
            <w:pPr>
              <w:rPr>
                <w:rFonts w:ascii="Calibri" w:hAnsi="Calibri" w:cs="Times New Roman"/>
                <w:color w:val="000000"/>
                <w:sz w:val="22"/>
                <w:szCs w:val="22"/>
              </w:rPr>
            </w:pPr>
            <w:r>
              <w:rPr>
                <w:rFonts w:ascii="Calibri" w:hAnsi="Calibri" w:cs="Times New Roman"/>
                <w:color w:val="000000"/>
                <w:sz w:val="22"/>
                <w:szCs w:val="22"/>
              </w:rPr>
              <w:t>UA1</w:t>
            </w:r>
          </w:p>
        </w:tc>
        <w:tc>
          <w:tcPr>
            <w:tcW w:w="1252"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725"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701"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559"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560"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r>
      <w:tr w:rsidR="006B682F" w:rsidRPr="009F2A7E" w:rsidTr="006B682F">
        <w:trPr>
          <w:trHeight w:val="288"/>
          <w:jc w:val="center"/>
        </w:trPr>
        <w:tc>
          <w:tcPr>
            <w:tcW w:w="2263" w:type="dxa"/>
            <w:shd w:val="clear" w:color="auto" w:fill="auto"/>
            <w:noWrap/>
            <w:vAlign w:val="bottom"/>
            <w:hideMark/>
          </w:tcPr>
          <w:p w:rsidR="006B682F" w:rsidRPr="009F2A7E" w:rsidRDefault="006B682F" w:rsidP="00E65C96">
            <w:pPr>
              <w:rPr>
                <w:rFonts w:ascii="Calibri" w:hAnsi="Calibri" w:cs="Times New Roman"/>
                <w:color w:val="000000"/>
                <w:sz w:val="22"/>
                <w:szCs w:val="22"/>
              </w:rPr>
            </w:pPr>
            <w:r>
              <w:rPr>
                <w:rFonts w:ascii="Calibri" w:hAnsi="Calibri" w:cs="Times New Roman"/>
                <w:color w:val="000000"/>
                <w:sz w:val="22"/>
                <w:szCs w:val="22"/>
              </w:rPr>
              <w:t>UA2</w:t>
            </w:r>
          </w:p>
        </w:tc>
        <w:tc>
          <w:tcPr>
            <w:tcW w:w="1252"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725"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701"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559"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c>
          <w:tcPr>
            <w:tcW w:w="1560" w:type="dxa"/>
            <w:shd w:val="clear" w:color="auto" w:fill="auto"/>
            <w:noWrap/>
            <w:vAlign w:val="center"/>
          </w:tcPr>
          <w:p w:rsidR="006B682F" w:rsidRPr="009F2A7E" w:rsidRDefault="006B682F" w:rsidP="00E65C96">
            <w:pPr>
              <w:jc w:val="center"/>
              <w:rPr>
                <w:rFonts w:ascii="Calibri" w:hAnsi="Calibri" w:cs="Times New Roman"/>
                <w:color w:val="000000"/>
                <w:sz w:val="22"/>
                <w:szCs w:val="22"/>
              </w:rPr>
            </w:pPr>
          </w:p>
        </w:tc>
      </w:tr>
    </w:tbl>
    <w:p w:rsidR="00C1025B" w:rsidRPr="00A92B3D" w:rsidRDefault="006B682F" w:rsidP="006B682F">
      <w:pPr>
        <w:jc w:val="both"/>
        <w:rPr>
          <w:rFonts w:cs="Times New Roman"/>
          <w:sz w:val="18"/>
          <w:szCs w:val="18"/>
        </w:rPr>
      </w:pPr>
      <w:r w:rsidRPr="00A92B3D">
        <w:rPr>
          <w:rFonts w:cs="Times New Roman"/>
          <w:sz w:val="18"/>
          <w:szCs w:val="18"/>
        </w:rPr>
        <w:t>*El resultado será “1” si cumple con al menos uno de los criterios y “0” si no cumple con ninguna.</w:t>
      </w:r>
    </w:p>
    <w:p w:rsidR="006B682F" w:rsidRPr="006B682F" w:rsidRDefault="006B682F" w:rsidP="006B682F">
      <w:pPr>
        <w:jc w:val="both"/>
        <w:rPr>
          <w:rFonts w:cs="Times New Roman"/>
          <w:sz w:val="22"/>
          <w:szCs w:val="22"/>
        </w:rPr>
      </w:pPr>
    </w:p>
    <w:p w:rsidR="00A92B3D" w:rsidRDefault="00A92B3D" w:rsidP="00D56CC0">
      <w:pPr>
        <w:ind w:left="567"/>
        <w:jc w:val="both"/>
        <w:rPr>
          <w:rFonts w:cs="Times New Roman"/>
          <w:sz w:val="22"/>
          <w:szCs w:val="22"/>
        </w:rPr>
      </w:pPr>
    </w:p>
    <w:p w:rsidR="000F440F" w:rsidRDefault="006B682F" w:rsidP="00D56CC0">
      <w:pPr>
        <w:ind w:left="567"/>
        <w:jc w:val="both"/>
        <w:rPr>
          <w:rFonts w:cs="Times New Roman"/>
          <w:sz w:val="22"/>
          <w:szCs w:val="22"/>
        </w:rPr>
      </w:pPr>
      <w:r>
        <w:rPr>
          <w:rFonts w:cs="Times New Roman"/>
          <w:sz w:val="22"/>
          <w:szCs w:val="22"/>
        </w:rPr>
        <w:t xml:space="preserve">Para calcular el </w:t>
      </w:r>
      <w:r w:rsidR="00946E0A" w:rsidRPr="00946E0A">
        <w:rPr>
          <w:rFonts w:cs="Times New Roman"/>
          <w:b/>
          <w:sz w:val="22"/>
          <w:szCs w:val="22"/>
        </w:rPr>
        <w:t xml:space="preserve">NÚMERO DE </w:t>
      </w:r>
      <w:r w:rsidR="00946E0A">
        <w:rPr>
          <w:rFonts w:cs="Times New Roman"/>
          <w:b/>
          <w:sz w:val="22"/>
          <w:szCs w:val="22"/>
        </w:rPr>
        <w:t>UNIDADES ADMINISTRATIVAS DE LA INSTITUCIÓN</w:t>
      </w:r>
      <w:r w:rsidR="00946E0A" w:rsidRPr="00946E0A">
        <w:rPr>
          <w:rFonts w:cs="Times New Roman"/>
          <w:b/>
          <w:sz w:val="22"/>
          <w:szCs w:val="22"/>
        </w:rPr>
        <w:t xml:space="preserve"> </w:t>
      </w:r>
      <w:r w:rsidR="00946E0A">
        <w:rPr>
          <w:rFonts w:cs="Times New Roman"/>
          <w:b/>
          <w:sz w:val="22"/>
          <w:szCs w:val="22"/>
        </w:rPr>
        <w:t>ORIENTADAS A OBJETIVOS ESTRATÉGICOS</w:t>
      </w:r>
      <w:r>
        <w:rPr>
          <w:rFonts w:cs="Times New Roman"/>
          <w:sz w:val="22"/>
          <w:szCs w:val="22"/>
        </w:rPr>
        <w:t xml:space="preserve"> se deberán de sumar todos los “1”-</w:t>
      </w:r>
    </w:p>
    <w:p w:rsidR="006B682F" w:rsidRDefault="006B682F" w:rsidP="00D56CC0">
      <w:pPr>
        <w:ind w:left="567"/>
        <w:jc w:val="both"/>
        <w:rPr>
          <w:rFonts w:cs="Times New Roman"/>
          <w:sz w:val="22"/>
          <w:szCs w:val="22"/>
        </w:rPr>
      </w:pPr>
    </w:p>
    <w:p w:rsidR="000F440F" w:rsidRPr="009F2A7E" w:rsidRDefault="000F440F" w:rsidP="00C1025B">
      <w:pPr>
        <w:ind w:left="708"/>
        <w:jc w:val="both"/>
        <w:rPr>
          <w:rFonts w:cs="Times New Roman"/>
          <w:sz w:val="22"/>
          <w:szCs w:val="22"/>
        </w:rPr>
      </w:pPr>
    </w:p>
    <w:p w:rsidR="00C1025B" w:rsidRPr="007F35B1" w:rsidRDefault="00C1025B" w:rsidP="00946E0A">
      <w:pPr>
        <w:pStyle w:val="Prrafodelista"/>
        <w:numPr>
          <w:ilvl w:val="0"/>
          <w:numId w:val="28"/>
        </w:numPr>
        <w:jc w:val="both"/>
        <w:rPr>
          <w:rFonts w:cs="Times New Roman"/>
          <w:sz w:val="22"/>
          <w:szCs w:val="22"/>
        </w:rPr>
      </w:pPr>
      <w:r>
        <w:rPr>
          <w:rFonts w:cs="Times New Roman"/>
          <w:sz w:val="22"/>
          <w:szCs w:val="22"/>
        </w:rPr>
        <w:t xml:space="preserve">Para calcular el resultado del indicador se divide </w:t>
      </w:r>
      <w:r w:rsidR="00AE7197">
        <w:rPr>
          <w:rFonts w:cs="Times New Roman"/>
          <w:sz w:val="22"/>
          <w:szCs w:val="22"/>
        </w:rPr>
        <w:t xml:space="preserve">el </w:t>
      </w:r>
      <w:r w:rsidR="00AE7197" w:rsidRPr="00AE7197">
        <w:rPr>
          <w:rFonts w:cs="Times New Roman"/>
          <w:b/>
          <w:sz w:val="22"/>
          <w:szCs w:val="22"/>
        </w:rPr>
        <w:t xml:space="preserve">NÚMERO DE </w:t>
      </w:r>
      <w:r w:rsidR="006B682F">
        <w:rPr>
          <w:rFonts w:cs="Times New Roman"/>
          <w:b/>
          <w:sz w:val="22"/>
          <w:szCs w:val="22"/>
        </w:rPr>
        <w:t>UNIDADES ADMINISTRATIVAS ORIENTADAS A OBJETIVOS ESTRATÉGICOS</w:t>
      </w:r>
      <w:r w:rsidR="00AE7197">
        <w:rPr>
          <w:rFonts w:cs="Times New Roman"/>
          <w:b/>
          <w:sz w:val="22"/>
          <w:szCs w:val="22"/>
        </w:rPr>
        <w:t xml:space="preserve"> /</w:t>
      </w:r>
      <w:r>
        <w:rPr>
          <w:rFonts w:cs="Times New Roman"/>
          <w:sz w:val="22"/>
          <w:szCs w:val="22"/>
        </w:rPr>
        <w:t xml:space="preserve"> </w:t>
      </w:r>
      <w:r w:rsidR="00AE7197" w:rsidRPr="00AE7197">
        <w:rPr>
          <w:rFonts w:cs="Times New Roman"/>
          <w:b/>
          <w:sz w:val="22"/>
          <w:szCs w:val="22"/>
        </w:rPr>
        <w:t xml:space="preserve">TOTAL DE </w:t>
      </w:r>
      <w:r w:rsidR="006B682F">
        <w:rPr>
          <w:rFonts w:cs="Times New Roman"/>
          <w:b/>
          <w:sz w:val="22"/>
          <w:szCs w:val="22"/>
        </w:rPr>
        <w:t>UNIDADES ADMINISTRATIVAS DE</w:t>
      </w:r>
      <w:r w:rsidR="00AE7197" w:rsidRPr="00AE7197">
        <w:rPr>
          <w:rFonts w:cs="Times New Roman"/>
          <w:b/>
          <w:sz w:val="22"/>
          <w:szCs w:val="22"/>
        </w:rPr>
        <w:t xml:space="preserve"> LA INSTITUCIÓN</w:t>
      </w:r>
      <w:r w:rsidR="00AE7197">
        <w:rPr>
          <w:rFonts w:cs="Times New Roman"/>
          <w:sz w:val="22"/>
          <w:szCs w:val="22"/>
        </w:rPr>
        <w:t xml:space="preserve"> </w:t>
      </w:r>
      <w:r w:rsidRPr="00AE7197">
        <w:rPr>
          <w:rFonts w:cs="Times New Roman"/>
          <w:b/>
          <w:sz w:val="22"/>
          <w:szCs w:val="22"/>
        </w:rPr>
        <w:t>*100</w:t>
      </w:r>
    </w:p>
    <w:p w:rsidR="007F35B1" w:rsidRDefault="007F35B1" w:rsidP="007F35B1">
      <w:pPr>
        <w:jc w:val="both"/>
        <w:rPr>
          <w:rFonts w:cs="Times New Roman"/>
          <w:sz w:val="22"/>
          <w:szCs w:val="22"/>
        </w:rPr>
      </w:pPr>
    </w:p>
    <w:p w:rsidR="007F35B1" w:rsidRDefault="007F35B1"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7F35B1" w:rsidRDefault="007F35B1" w:rsidP="007F35B1">
      <w:pPr>
        <w:jc w:val="both"/>
        <w:rPr>
          <w:rFonts w:cs="Times New Roman"/>
          <w:sz w:val="22"/>
          <w:szCs w:val="22"/>
        </w:rPr>
      </w:pPr>
    </w:p>
    <w:p w:rsidR="007F35B1" w:rsidRDefault="007F35B1"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946E0A" w:rsidRDefault="00946E0A" w:rsidP="007F35B1">
      <w:pPr>
        <w:jc w:val="both"/>
        <w:rPr>
          <w:rFonts w:cs="Times New Roman"/>
          <w:sz w:val="22"/>
          <w:szCs w:val="22"/>
        </w:rPr>
      </w:pPr>
    </w:p>
    <w:p w:rsidR="007F35B1" w:rsidRDefault="007F35B1" w:rsidP="007F35B1">
      <w:pPr>
        <w:jc w:val="both"/>
        <w:rPr>
          <w:rFonts w:cs="Times New Roman"/>
          <w:sz w:val="22"/>
          <w:szCs w:val="22"/>
        </w:rPr>
      </w:pPr>
    </w:p>
    <w:p w:rsidR="007F35B1" w:rsidRDefault="007F35B1" w:rsidP="007F35B1">
      <w:pPr>
        <w:rPr>
          <w:b/>
          <w:bCs/>
          <w:noProof/>
          <w:color w:val="000000"/>
          <w:sz w:val="20"/>
          <w:szCs w:val="20"/>
          <w:lang w:val="es-ES"/>
        </w:rPr>
      </w:pPr>
    </w:p>
    <w:p w:rsidR="007F35B1" w:rsidRDefault="007F35B1" w:rsidP="007F35B1">
      <w:pPr>
        <w:jc w:val="center"/>
        <w:rPr>
          <w:b/>
          <w:bCs/>
          <w:noProof/>
          <w:color w:val="000000"/>
          <w:sz w:val="32"/>
          <w:szCs w:val="32"/>
          <w:lang w:val="es-ES"/>
        </w:rPr>
      </w:pPr>
    </w:p>
    <w:p w:rsidR="007F35B1" w:rsidRDefault="00A351F9" w:rsidP="007F35B1">
      <w:pPr>
        <w:jc w:val="center"/>
        <w:rPr>
          <w:b/>
          <w:bCs/>
          <w:noProof/>
          <w:color w:val="000000"/>
          <w:sz w:val="32"/>
          <w:szCs w:val="32"/>
          <w:lang w:val="es-ES"/>
        </w:rPr>
      </w:pPr>
      <w:r>
        <w:rPr>
          <w:b/>
          <w:bCs/>
          <w:noProof/>
          <w:color w:val="000000"/>
          <w:sz w:val="32"/>
          <w:szCs w:val="32"/>
          <w:lang w:val="es-ES"/>
        </w:rPr>
        <w:t xml:space="preserve">II. </w:t>
      </w:r>
      <w:r w:rsidR="007F35B1">
        <w:rPr>
          <w:b/>
          <w:bCs/>
          <w:noProof/>
          <w:color w:val="000000"/>
          <w:sz w:val="32"/>
          <w:szCs w:val="32"/>
          <w:lang w:val="es-ES"/>
        </w:rPr>
        <w:t>INSTRUCTIVO PARA EL CÁLCULO DEL INDICADOR “RECURSOS HUMANOS PROFESIONALIZADOS”</w:t>
      </w:r>
    </w:p>
    <w:p w:rsidR="007F35B1" w:rsidRDefault="007F35B1" w:rsidP="007F35B1">
      <w:pPr>
        <w:jc w:val="center"/>
        <w:rPr>
          <w:b/>
          <w:bCs/>
          <w:noProof/>
          <w:color w:val="000000"/>
          <w:sz w:val="32"/>
          <w:szCs w:val="32"/>
          <w:lang w:val="es-ES"/>
        </w:rPr>
      </w:pPr>
    </w:p>
    <w:p w:rsidR="007F35B1" w:rsidRPr="00094958" w:rsidRDefault="007F35B1" w:rsidP="007F35B1">
      <w:pPr>
        <w:jc w:val="center"/>
        <w:rPr>
          <w:rFonts w:asciiTheme="minorHAnsi" w:hAnsiTheme="minorHAnsi"/>
          <w:sz w:val="28"/>
          <w:szCs w:val="28"/>
        </w:rPr>
      </w:pPr>
      <w:r w:rsidRPr="00094958">
        <w:rPr>
          <w:rFonts w:asciiTheme="minorHAnsi" w:hAnsiTheme="minorHAnsi"/>
          <w:bCs/>
          <w:noProof/>
          <w:color w:val="000000"/>
          <w:sz w:val="28"/>
          <w:szCs w:val="28"/>
          <w:lang w:val="es-ES"/>
        </w:rPr>
        <w:t>(Estrategia 4.2 Fortalecer la profesionalización de los servidores públicos</w:t>
      </w:r>
      <w:r w:rsidRPr="00094958">
        <w:rPr>
          <w:rFonts w:asciiTheme="minorHAnsi" w:hAnsiTheme="minorHAnsi"/>
          <w:sz w:val="28"/>
          <w:szCs w:val="28"/>
        </w:rPr>
        <w:t xml:space="preserve">) </w:t>
      </w:r>
    </w:p>
    <w:p w:rsidR="007F35B1" w:rsidRDefault="007F35B1" w:rsidP="007F35B1">
      <w:pPr>
        <w:jc w:val="center"/>
      </w:pPr>
    </w:p>
    <w:p w:rsidR="007F35B1" w:rsidRDefault="007F35B1" w:rsidP="007F35B1">
      <w:pPr>
        <w:jc w:val="cente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7F35B1" w:rsidRDefault="007F35B1" w:rsidP="007F35B1">
      <w:pPr>
        <w:jc w:val="center"/>
        <w:rPr>
          <w:b/>
          <w:bCs/>
          <w:noProof/>
          <w:color w:val="000000"/>
          <w:sz w:val="32"/>
          <w:szCs w:val="32"/>
          <w:lang w:val="es-ES"/>
        </w:rPr>
      </w:pPr>
    </w:p>
    <w:p w:rsidR="00946E0A" w:rsidRDefault="00946E0A" w:rsidP="007F35B1">
      <w:pPr>
        <w:jc w:val="center"/>
        <w:rPr>
          <w:b/>
          <w:bCs/>
          <w:noProof/>
          <w:color w:val="000000"/>
          <w:sz w:val="32"/>
          <w:szCs w:val="32"/>
          <w:lang w:val="es-ES"/>
        </w:rPr>
      </w:pPr>
    </w:p>
    <w:p w:rsidR="00946E0A" w:rsidRDefault="00946E0A" w:rsidP="007F35B1">
      <w:pPr>
        <w:jc w:val="center"/>
        <w:rPr>
          <w:b/>
          <w:bCs/>
          <w:noProof/>
          <w:color w:val="000000"/>
          <w:sz w:val="32"/>
          <w:szCs w:val="32"/>
          <w:lang w:val="es-ES"/>
        </w:rPr>
      </w:pPr>
    </w:p>
    <w:p w:rsidR="00946E0A" w:rsidRDefault="00946E0A" w:rsidP="007F35B1">
      <w:pPr>
        <w:jc w:val="center"/>
        <w:rPr>
          <w:b/>
          <w:bCs/>
          <w:noProof/>
          <w:color w:val="000000"/>
          <w:sz w:val="32"/>
          <w:szCs w:val="32"/>
          <w:lang w:val="es-ES"/>
        </w:rPr>
      </w:pPr>
    </w:p>
    <w:p w:rsidR="00946E0A" w:rsidRDefault="00946E0A" w:rsidP="007F35B1">
      <w:pPr>
        <w:jc w:val="center"/>
        <w:rPr>
          <w:b/>
          <w:bCs/>
          <w:noProof/>
          <w:color w:val="000000"/>
          <w:sz w:val="32"/>
          <w:szCs w:val="32"/>
          <w:lang w:val="es-ES"/>
        </w:rPr>
      </w:pPr>
    </w:p>
    <w:p w:rsidR="00946E0A" w:rsidRDefault="00946E0A" w:rsidP="007F35B1">
      <w:pPr>
        <w:jc w:val="center"/>
        <w:rPr>
          <w:b/>
          <w:bCs/>
          <w:noProof/>
          <w:color w:val="000000"/>
          <w:sz w:val="32"/>
          <w:szCs w:val="32"/>
          <w:lang w:val="es-ES"/>
        </w:rPr>
      </w:pPr>
    </w:p>
    <w:p w:rsidR="00946E0A" w:rsidRDefault="00946E0A" w:rsidP="007F35B1">
      <w:pPr>
        <w:jc w:val="center"/>
        <w:rPr>
          <w:b/>
          <w:bCs/>
          <w:noProof/>
          <w:color w:val="000000"/>
          <w:sz w:val="32"/>
          <w:szCs w:val="32"/>
          <w:lang w:val="es-ES"/>
        </w:rPr>
      </w:pPr>
    </w:p>
    <w:p w:rsidR="00B22479" w:rsidRDefault="00B22479" w:rsidP="00B22479">
      <w:pPr>
        <w:rPr>
          <w:b/>
          <w:bCs/>
          <w:noProof/>
          <w:color w:val="000000"/>
          <w:sz w:val="32"/>
          <w:szCs w:val="32"/>
          <w:lang w:val="es-ES"/>
        </w:rPr>
      </w:pPr>
    </w:p>
    <w:p w:rsidR="00B22479" w:rsidRPr="00094958" w:rsidRDefault="00B22479" w:rsidP="00B22479">
      <w:pPr>
        <w:jc w:val="center"/>
        <w:rPr>
          <w:b/>
          <w:bCs/>
          <w:noProof/>
          <w:color w:val="000000"/>
          <w:sz w:val="32"/>
          <w:szCs w:val="32"/>
          <w:lang w:val="es-ES"/>
        </w:rPr>
      </w:pPr>
      <w:r>
        <w:rPr>
          <w:b/>
          <w:bCs/>
          <w:noProof/>
          <w:color w:val="000000"/>
          <w:sz w:val="32"/>
          <w:szCs w:val="32"/>
          <w:lang w:val="es-ES"/>
        </w:rPr>
        <w:t xml:space="preserve">Indicador: </w:t>
      </w:r>
      <w:r w:rsidRPr="00094958">
        <w:rPr>
          <w:b/>
          <w:bCs/>
          <w:noProof/>
          <w:color w:val="000000"/>
          <w:sz w:val="32"/>
          <w:szCs w:val="32"/>
          <w:lang w:val="es-ES"/>
        </w:rPr>
        <w:t>Recursos humanos profesionalizados</w:t>
      </w:r>
    </w:p>
    <w:p w:rsidR="00B22479" w:rsidRDefault="00B22479" w:rsidP="00B22479">
      <w:pPr>
        <w:jc w:val="both"/>
        <w:rPr>
          <w:rFonts w:cs="Times New Roman"/>
          <w:sz w:val="22"/>
          <w:szCs w:val="22"/>
        </w:rPr>
      </w:pPr>
    </w:p>
    <w:p w:rsidR="00B22479" w:rsidRDefault="00B22479" w:rsidP="00B22479">
      <w:pPr>
        <w:jc w:val="both"/>
        <w:rPr>
          <w:rFonts w:cs="Times New Roman"/>
          <w:sz w:val="22"/>
          <w:szCs w:val="22"/>
        </w:rPr>
      </w:pPr>
      <w:r w:rsidRPr="00094958">
        <w:rPr>
          <w:noProof/>
          <w:lang w:eastAsia="es-MX"/>
        </w:rPr>
        <w:drawing>
          <wp:inline distT="0" distB="0" distL="0" distR="0" wp14:anchorId="6D86A3D1" wp14:editId="614770C6">
            <wp:extent cx="6333490" cy="10341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3490" cy="1034164"/>
                    </a:xfrm>
                    <a:prstGeom prst="rect">
                      <a:avLst/>
                    </a:prstGeom>
                    <a:noFill/>
                    <a:ln>
                      <a:noFill/>
                    </a:ln>
                  </pic:spPr>
                </pic:pic>
              </a:graphicData>
            </a:graphic>
          </wp:inline>
        </w:drawing>
      </w:r>
    </w:p>
    <w:p w:rsidR="00B22479" w:rsidRDefault="00B22479" w:rsidP="00B22479">
      <w:pPr>
        <w:jc w:val="both"/>
        <w:rPr>
          <w:rFonts w:cs="Times New Roman"/>
          <w:sz w:val="22"/>
          <w:szCs w:val="22"/>
        </w:rPr>
      </w:pPr>
    </w:p>
    <w:p w:rsidR="00B22479" w:rsidRDefault="00B22479" w:rsidP="00B22479">
      <w:pPr>
        <w:jc w:val="both"/>
        <w:rPr>
          <w:rFonts w:cs="Times New Roman"/>
          <w:sz w:val="22"/>
          <w:szCs w:val="22"/>
        </w:rPr>
      </w:pPr>
      <w:r>
        <w:rPr>
          <w:rFonts w:cs="Times New Roman"/>
          <w:sz w:val="22"/>
          <w:szCs w:val="22"/>
        </w:rPr>
        <w:t xml:space="preserve">Para el cálculo del indicador </w:t>
      </w:r>
      <w:r w:rsidRPr="00BC557F">
        <w:rPr>
          <w:rFonts w:cs="Times New Roman"/>
          <w:i/>
          <w:sz w:val="22"/>
          <w:szCs w:val="22"/>
        </w:rPr>
        <w:t>Recursos Humanos Profesionalizados</w:t>
      </w:r>
      <w:r>
        <w:rPr>
          <w:rFonts w:cs="Times New Roman"/>
          <w:sz w:val="22"/>
          <w:szCs w:val="22"/>
        </w:rPr>
        <w:t xml:space="preserve">, se deben considerar a todos los servidores públicos que ocupen una plaza presupuestal permanente que se ubiquen en los grupos jerárquicos entre “P” al “K” o equivalentes, sean o no sujetos al SPC. </w:t>
      </w:r>
    </w:p>
    <w:p w:rsidR="00B22479" w:rsidRDefault="00B22479" w:rsidP="00B22479">
      <w:pPr>
        <w:jc w:val="both"/>
        <w:rPr>
          <w:rFonts w:cs="Times New Roman"/>
          <w:sz w:val="22"/>
          <w:szCs w:val="22"/>
        </w:rPr>
      </w:pPr>
    </w:p>
    <w:p w:rsidR="00B22479" w:rsidRDefault="00B22479" w:rsidP="00B22479">
      <w:pPr>
        <w:jc w:val="both"/>
        <w:rPr>
          <w:rFonts w:cs="Times New Roman"/>
          <w:sz w:val="22"/>
          <w:szCs w:val="22"/>
        </w:rPr>
      </w:pPr>
      <w:r>
        <w:rPr>
          <w:rFonts w:cs="Times New Roman"/>
          <w:sz w:val="22"/>
          <w:szCs w:val="22"/>
        </w:rPr>
        <w:t>Una vez identificado el conjunto de servidores públicos a que se refiere el párrafo anterior, se deberá excluir de ese conjunto a los servidores públicos que se encuentren en los supuestos siguientes:</w:t>
      </w:r>
    </w:p>
    <w:p w:rsidR="00B22479" w:rsidRDefault="00B22479" w:rsidP="00B22479">
      <w:pPr>
        <w:jc w:val="both"/>
        <w:rPr>
          <w:rFonts w:cs="Times New Roman"/>
          <w:sz w:val="22"/>
          <w:szCs w:val="22"/>
        </w:rPr>
      </w:pPr>
    </w:p>
    <w:p w:rsidR="00B22479" w:rsidRPr="00BC557F" w:rsidRDefault="00B22479" w:rsidP="00B22479">
      <w:pPr>
        <w:pStyle w:val="Prrafodelista"/>
        <w:numPr>
          <w:ilvl w:val="0"/>
          <w:numId w:val="24"/>
        </w:numPr>
        <w:jc w:val="both"/>
        <w:rPr>
          <w:rFonts w:cs="Times New Roman"/>
          <w:sz w:val="22"/>
          <w:szCs w:val="22"/>
        </w:rPr>
      </w:pPr>
      <w:r w:rsidRPr="00BC557F">
        <w:rPr>
          <w:rFonts w:cs="Times New Roman"/>
          <w:sz w:val="22"/>
          <w:szCs w:val="22"/>
        </w:rPr>
        <w:t>Servidores públicos que ocupan un puesto por artículo 34 de la Ley, con base al artículo 52 fracción II o 92 de su Reglamento.</w:t>
      </w:r>
    </w:p>
    <w:p w:rsidR="00B22479" w:rsidRPr="00BC557F" w:rsidRDefault="00B22479" w:rsidP="00B22479">
      <w:pPr>
        <w:jc w:val="both"/>
        <w:rPr>
          <w:rFonts w:cs="Times New Roman"/>
          <w:sz w:val="22"/>
          <w:szCs w:val="22"/>
        </w:rPr>
      </w:pPr>
    </w:p>
    <w:p w:rsidR="00B22479" w:rsidRPr="00BC557F" w:rsidRDefault="00B22479" w:rsidP="00B22479">
      <w:pPr>
        <w:pStyle w:val="Prrafodelista"/>
        <w:numPr>
          <w:ilvl w:val="0"/>
          <w:numId w:val="24"/>
        </w:numPr>
        <w:jc w:val="both"/>
        <w:rPr>
          <w:rFonts w:cs="Times New Roman"/>
          <w:sz w:val="22"/>
          <w:szCs w:val="22"/>
        </w:rPr>
      </w:pPr>
      <w:r w:rsidRPr="00BC557F">
        <w:rPr>
          <w:rFonts w:cs="Times New Roman"/>
          <w:sz w:val="22"/>
          <w:szCs w:val="22"/>
        </w:rPr>
        <w:t>Servidores públicos que se dieron de baja o separación durante los meses de aplicación de la evaluación (entre enero a febrero)</w:t>
      </w:r>
      <w:r>
        <w:rPr>
          <w:rFonts w:cs="Times New Roman"/>
          <w:sz w:val="22"/>
          <w:szCs w:val="22"/>
        </w:rPr>
        <w:t xml:space="preserve"> y que ya no se encuentran activos en la institución.</w:t>
      </w:r>
    </w:p>
    <w:p w:rsidR="00B22479" w:rsidRPr="00BC557F" w:rsidRDefault="00B22479" w:rsidP="00B22479">
      <w:pPr>
        <w:jc w:val="both"/>
        <w:rPr>
          <w:rFonts w:cs="Times New Roman"/>
          <w:sz w:val="22"/>
          <w:szCs w:val="22"/>
        </w:rPr>
      </w:pPr>
    </w:p>
    <w:p w:rsidR="00B22479" w:rsidRPr="00BC557F" w:rsidRDefault="00B22479" w:rsidP="00B22479">
      <w:pPr>
        <w:pStyle w:val="Prrafodelista"/>
        <w:numPr>
          <w:ilvl w:val="0"/>
          <w:numId w:val="24"/>
        </w:numPr>
        <w:jc w:val="both"/>
        <w:rPr>
          <w:rFonts w:cs="Times New Roman"/>
          <w:sz w:val="22"/>
          <w:szCs w:val="22"/>
        </w:rPr>
      </w:pPr>
      <w:r w:rsidRPr="00BC557F">
        <w:rPr>
          <w:rFonts w:cs="Times New Roman"/>
          <w:sz w:val="22"/>
          <w:szCs w:val="22"/>
        </w:rPr>
        <w:t>Servidores públicos que cuentan con un amparo o alguna disposición jurídica que evita se les evalúe o capacite.</w:t>
      </w:r>
    </w:p>
    <w:p w:rsidR="00B22479" w:rsidRDefault="00B22479" w:rsidP="00B22479">
      <w:pPr>
        <w:jc w:val="both"/>
        <w:rPr>
          <w:rFonts w:cs="Times New Roman"/>
          <w:sz w:val="22"/>
          <w:szCs w:val="22"/>
        </w:rPr>
      </w:pPr>
    </w:p>
    <w:p w:rsidR="00B22479" w:rsidRDefault="00B22479" w:rsidP="00B22479">
      <w:pPr>
        <w:jc w:val="both"/>
        <w:rPr>
          <w:rFonts w:cs="Times New Roman"/>
          <w:sz w:val="22"/>
          <w:szCs w:val="22"/>
        </w:rPr>
      </w:pPr>
      <w:r>
        <w:rPr>
          <w:rFonts w:cs="Times New Roman"/>
          <w:sz w:val="22"/>
          <w:szCs w:val="22"/>
        </w:rPr>
        <w:t xml:space="preserve">Este será el valor del denominador: </w:t>
      </w:r>
      <w:r w:rsidRPr="00AE7197">
        <w:rPr>
          <w:rFonts w:cs="Times New Roman"/>
          <w:b/>
          <w:sz w:val="22"/>
          <w:szCs w:val="22"/>
        </w:rPr>
        <w:t>TOTAL DE SERVIDORES PÚBLICOS EN LA INSTITUCIÓN</w:t>
      </w:r>
    </w:p>
    <w:p w:rsidR="00B22479" w:rsidRPr="00BC557F" w:rsidRDefault="00B22479" w:rsidP="00B22479">
      <w:pPr>
        <w:jc w:val="both"/>
        <w:rPr>
          <w:rFonts w:cs="Times New Roman"/>
          <w:sz w:val="22"/>
          <w:szCs w:val="22"/>
        </w:rPr>
      </w:pPr>
    </w:p>
    <w:p w:rsidR="00B22479" w:rsidRPr="00761FAA" w:rsidRDefault="00B22479" w:rsidP="00B22479">
      <w:pPr>
        <w:jc w:val="both"/>
        <w:rPr>
          <w:rFonts w:cs="Times New Roman"/>
          <w:sz w:val="22"/>
          <w:szCs w:val="22"/>
        </w:rPr>
      </w:pPr>
      <w:r>
        <w:rPr>
          <w:rFonts w:cs="Times New Roman"/>
          <w:sz w:val="22"/>
          <w:szCs w:val="22"/>
        </w:rPr>
        <w:t>Por otra parte, de conformidad a las disposiciones normativas aplicables, principalmente para los servidores públicos sujetos a la Ley del Servicio Profesional de Carrera en la APF, es necesario considerar supuestos adicionales que deben considerarse para aquellos casos en que la evaluación del desempeño no es obligatoria, como en los siguientes casos:</w:t>
      </w:r>
    </w:p>
    <w:p w:rsidR="00B22479" w:rsidRDefault="00B22479" w:rsidP="00B22479">
      <w:pPr>
        <w:jc w:val="both"/>
        <w:rPr>
          <w:rFonts w:cs="Times New Roman"/>
          <w:sz w:val="22"/>
          <w:szCs w:val="22"/>
        </w:rPr>
      </w:pPr>
    </w:p>
    <w:tbl>
      <w:tblPr>
        <w:tblStyle w:val="Tablaconcuadrcula"/>
        <w:tblW w:w="10060" w:type="dxa"/>
        <w:tblLook w:val="04A0" w:firstRow="1" w:lastRow="0" w:firstColumn="1" w:lastColumn="0" w:noHBand="0" w:noVBand="1"/>
      </w:tblPr>
      <w:tblGrid>
        <w:gridCol w:w="5949"/>
        <w:gridCol w:w="2551"/>
        <w:gridCol w:w="1560"/>
      </w:tblGrid>
      <w:tr w:rsidR="00B22479" w:rsidTr="00387E11">
        <w:tc>
          <w:tcPr>
            <w:tcW w:w="5949" w:type="dxa"/>
            <w:shd w:val="clear" w:color="auto" w:fill="D9D9D9" w:themeFill="background1" w:themeFillShade="D9"/>
            <w:vAlign w:val="center"/>
          </w:tcPr>
          <w:p w:rsidR="00B22479" w:rsidRPr="00E65C96" w:rsidRDefault="00B22479" w:rsidP="00387E11">
            <w:pPr>
              <w:jc w:val="center"/>
              <w:rPr>
                <w:rFonts w:cs="Times New Roman"/>
                <w:b/>
                <w:sz w:val="20"/>
                <w:szCs w:val="20"/>
              </w:rPr>
            </w:pPr>
            <w:r w:rsidRPr="00E65C96">
              <w:rPr>
                <w:rFonts w:cs="Times New Roman"/>
                <w:b/>
                <w:sz w:val="20"/>
                <w:szCs w:val="20"/>
              </w:rPr>
              <w:t>Tipo de Servidor Público</w:t>
            </w:r>
          </w:p>
        </w:tc>
        <w:tc>
          <w:tcPr>
            <w:tcW w:w="2551" w:type="dxa"/>
            <w:shd w:val="clear" w:color="auto" w:fill="D9D9D9" w:themeFill="background1" w:themeFillShade="D9"/>
            <w:vAlign w:val="center"/>
          </w:tcPr>
          <w:p w:rsidR="00B22479" w:rsidRPr="00E65C96" w:rsidRDefault="00B22479" w:rsidP="00387E11">
            <w:pPr>
              <w:jc w:val="center"/>
              <w:rPr>
                <w:rFonts w:cs="Times New Roman"/>
                <w:b/>
                <w:sz w:val="20"/>
                <w:szCs w:val="20"/>
              </w:rPr>
            </w:pPr>
            <w:r w:rsidRPr="00E65C96">
              <w:rPr>
                <w:rFonts w:cs="Times New Roman"/>
                <w:b/>
                <w:sz w:val="20"/>
                <w:szCs w:val="20"/>
              </w:rPr>
              <w:t>Obliga Evaluación del Desempeño</w:t>
            </w:r>
          </w:p>
        </w:tc>
        <w:tc>
          <w:tcPr>
            <w:tcW w:w="1560" w:type="dxa"/>
            <w:shd w:val="clear" w:color="auto" w:fill="D9D9D9" w:themeFill="background1" w:themeFillShade="D9"/>
            <w:vAlign w:val="center"/>
          </w:tcPr>
          <w:p w:rsidR="00B22479" w:rsidRPr="00E65C96" w:rsidRDefault="00B22479" w:rsidP="00387E11">
            <w:pPr>
              <w:jc w:val="center"/>
              <w:rPr>
                <w:rFonts w:cs="Times New Roman"/>
                <w:b/>
                <w:sz w:val="20"/>
                <w:szCs w:val="20"/>
              </w:rPr>
            </w:pPr>
            <w:r w:rsidRPr="00E65C96">
              <w:rPr>
                <w:rFonts w:cs="Times New Roman"/>
                <w:b/>
                <w:sz w:val="20"/>
                <w:szCs w:val="20"/>
              </w:rPr>
              <w:t>Capacitables</w:t>
            </w:r>
          </w:p>
        </w:tc>
      </w:tr>
      <w:tr w:rsidR="00B22479" w:rsidRPr="00E33E40" w:rsidTr="00387E11">
        <w:tc>
          <w:tcPr>
            <w:tcW w:w="5949" w:type="dxa"/>
          </w:tcPr>
          <w:p w:rsidR="00B22479" w:rsidRPr="00E65C96" w:rsidRDefault="00B22479" w:rsidP="00387E11">
            <w:pPr>
              <w:jc w:val="both"/>
              <w:rPr>
                <w:rFonts w:cs="Times New Roman"/>
                <w:sz w:val="20"/>
                <w:szCs w:val="20"/>
              </w:rPr>
            </w:pPr>
            <w:r w:rsidRPr="00E65C96">
              <w:rPr>
                <w:rFonts w:cs="Times New Roman"/>
                <w:sz w:val="20"/>
                <w:szCs w:val="20"/>
              </w:rPr>
              <w:t>Servidores Públicos de Carrera</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SÍ</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SÍ</w:t>
            </w:r>
          </w:p>
        </w:tc>
      </w:tr>
      <w:tr w:rsidR="00B22479" w:rsidRPr="00E33E40" w:rsidTr="00387E11">
        <w:tc>
          <w:tcPr>
            <w:tcW w:w="5949" w:type="dxa"/>
          </w:tcPr>
          <w:p w:rsidR="00B22479" w:rsidRPr="00E65C96" w:rsidRDefault="00B22479" w:rsidP="00387E11">
            <w:pPr>
              <w:jc w:val="both"/>
              <w:rPr>
                <w:rFonts w:cs="Times New Roman"/>
                <w:sz w:val="20"/>
                <w:szCs w:val="20"/>
              </w:rPr>
            </w:pPr>
            <w:r w:rsidRPr="00E65C96">
              <w:rPr>
                <w:rFonts w:cs="Times New Roman"/>
                <w:sz w:val="20"/>
                <w:szCs w:val="20"/>
              </w:rPr>
              <w:t>Gabinete de Apoyo</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NO</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SI</w:t>
            </w:r>
          </w:p>
        </w:tc>
      </w:tr>
      <w:tr w:rsidR="00B22479" w:rsidRPr="00E33E40" w:rsidTr="00387E11">
        <w:tc>
          <w:tcPr>
            <w:tcW w:w="5949" w:type="dxa"/>
          </w:tcPr>
          <w:p w:rsidR="00B22479" w:rsidRPr="00E65C96" w:rsidRDefault="00B22479" w:rsidP="00387E11">
            <w:pPr>
              <w:jc w:val="both"/>
              <w:rPr>
                <w:rFonts w:cs="Times New Roman"/>
                <w:sz w:val="20"/>
                <w:szCs w:val="20"/>
              </w:rPr>
            </w:pPr>
            <w:r w:rsidRPr="00E65C96">
              <w:rPr>
                <w:rFonts w:cs="Times New Roman"/>
                <w:sz w:val="20"/>
                <w:szCs w:val="20"/>
              </w:rPr>
              <w:t>Libre Designación</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SÍ</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SÍ</w:t>
            </w:r>
          </w:p>
        </w:tc>
      </w:tr>
      <w:tr w:rsidR="00B22479" w:rsidRPr="00E33E40" w:rsidTr="00387E11">
        <w:tc>
          <w:tcPr>
            <w:tcW w:w="5949" w:type="dxa"/>
          </w:tcPr>
          <w:p w:rsidR="00B22479" w:rsidRPr="00E65C96" w:rsidRDefault="00B22479" w:rsidP="00387E11">
            <w:pPr>
              <w:jc w:val="both"/>
              <w:rPr>
                <w:rFonts w:cs="Times New Roman"/>
                <w:sz w:val="20"/>
                <w:szCs w:val="20"/>
              </w:rPr>
            </w:pPr>
            <w:r w:rsidRPr="00E65C96">
              <w:rPr>
                <w:rFonts w:cs="Times New Roman"/>
                <w:sz w:val="20"/>
                <w:szCs w:val="20"/>
              </w:rPr>
              <w:t>Designación Directa</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SÍ</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 xml:space="preserve">SÍ </w:t>
            </w:r>
          </w:p>
        </w:tc>
      </w:tr>
      <w:tr w:rsidR="00B22479" w:rsidRPr="00E33E40" w:rsidTr="00387E11">
        <w:trPr>
          <w:trHeight w:val="917"/>
        </w:trPr>
        <w:tc>
          <w:tcPr>
            <w:tcW w:w="5949" w:type="dxa"/>
          </w:tcPr>
          <w:p w:rsidR="00B22479" w:rsidRPr="00E65C96" w:rsidRDefault="00B22479" w:rsidP="00387E11">
            <w:pPr>
              <w:numPr>
                <w:ilvl w:val="0"/>
                <w:numId w:val="21"/>
              </w:numPr>
              <w:ind w:left="171" w:hanging="218"/>
              <w:jc w:val="both"/>
              <w:rPr>
                <w:rFonts w:cs="Times New Roman"/>
                <w:sz w:val="20"/>
                <w:szCs w:val="20"/>
              </w:rPr>
            </w:pPr>
            <w:r w:rsidRPr="00E65C96">
              <w:rPr>
                <w:rFonts w:cs="Times New Roman"/>
                <w:sz w:val="20"/>
                <w:szCs w:val="20"/>
              </w:rPr>
              <w:t>Servidores públicos Eventuales de Primer Nivel de Ingreso del SPC que se encuentran en su primer año de desempeño</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Sólo si el término de su primer año de desempeño ocurre en el ejercicio que se reporta.</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SÍ</w:t>
            </w:r>
          </w:p>
        </w:tc>
      </w:tr>
      <w:tr w:rsidR="00B22479" w:rsidRPr="00E33E40" w:rsidTr="00387E11">
        <w:tc>
          <w:tcPr>
            <w:tcW w:w="5949" w:type="dxa"/>
          </w:tcPr>
          <w:p w:rsidR="00B22479" w:rsidRPr="00E65C96" w:rsidRDefault="00B22479" w:rsidP="00387E11">
            <w:pPr>
              <w:numPr>
                <w:ilvl w:val="0"/>
                <w:numId w:val="21"/>
              </w:numPr>
              <w:ind w:left="171" w:hanging="218"/>
              <w:jc w:val="both"/>
              <w:rPr>
                <w:rFonts w:cs="Times New Roman"/>
                <w:sz w:val="20"/>
                <w:szCs w:val="20"/>
              </w:rPr>
            </w:pPr>
            <w:r w:rsidRPr="00E65C96">
              <w:rPr>
                <w:rFonts w:cs="Times New Roman"/>
                <w:sz w:val="20"/>
                <w:szCs w:val="20"/>
              </w:rPr>
              <w:t>Servidores públicos que cambiaron de puesto, aún sin perder permanencia, bajo cualquier modalidad (artículo 52 fracción I, movimiento lateral, cambio a libre designación o viceversa, concurso, ocupación temporal), que no les permite cumplir con los 4 meses mínimos para ser evaluados.</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NO</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SI</w:t>
            </w:r>
          </w:p>
        </w:tc>
      </w:tr>
      <w:tr w:rsidR="00B22479" w:rsidRPr="00E33E40" w:rsidTr="00387E11">
        <w:tc>
          <w:tcPr>
            <w:tcW w:w="5949" w:type="dxa"/>
          </w:tcPr>
          <w:p w:rsidR="00B22479" w:rsidRPr="00E65C96" w:rsidRDefault="00B22479" w:rsidP="00387E11">
            <w:pPr>
              <w:numPr>
                <w:ilvl w:val="0"/>
                <w:numId w:val="21"/>
              </w:numPr>
              <w:ind w:left="171" w:hanging="218"/>
              <w:jc w:val="both"/>
              <w:rPr>
                <w:rFonts w:cs="Times New Roman"/>
                <w:sz w:val="20"/>
                <w:szCs w:val="20"/>
              </w:rPr>
            </w:pPr>
            <w:r w:rsidRPr="00E65C96">
              <w:rPr>
                <w:rFonts w:cs="Times New Roman"/>
                <w:sz w:val="20"/>
                <w:szCs w:val="20"/>
              </w:rPr>
              <w:t>Servidores públicos que no cumplen 4 meses en el nuevo puesto para ser sujetos de evaluación del desempeño (alta entre el 16/09/2010 al 16/12/2010)</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NO</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SÍ</w:t>
            </w:r>
          </w:p>
        </w:tc>
      </w:tr>
      <w:tr w:rsidR="00B22479" w:rsidRPr="00E33E40" w:rsidTr="00387E11">
        <w:tc>
          <w:tcPr>
            <w:tcW w:w="5949" w:type="dxa"/>
          </w:tcPr>
          <w:p w:rsidR="00B22479" w:rsidRPr="00E65C96" w:rsidRDefault="00B22479" w:rsidP="00387E11">
            <w:pPr>
              <w:numPr>
                <w:ilvl w:val="0"/>
                <w:numId w:val="21"/>
              </w:numPr>
              <w:ind w:left="171" w:hanging="218"/>
              <w:jc w:val="both"/>
              <w:rPr>
                <w:rFonts w:cs="Times New Roman"/>
                <w:sz w:val="20"/>
                <w:szCs w:val="20"/>
              </w:rPr>
            </w:pPr>
            <w:r w:rsidRPr="00E65C96">
              <w:rPr>
                <w:rFonts w:cs="Times New Roman"/>
                <w:sz w:val="20"/>
                <w:szCs w:val="20"/>
              </w:rPr>
              <w:lastRenderedPageBreak/>
              <w:t>Servidores públicos que tuvieron licencia sin goce de sueldo, incapacidad parcial, separación temporal, que no les permite cumplir con los 4 meses mínimos para ser evaluados.</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NO</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SÍ</w:t>
            </w:r>
          </w:p>
        </w:tc>
      </w:tr>
      <w:tr w:rsidR="00B22479" w:rsidRPr="00E33E40" w:rsidTr="00387E11">
        <w:tc>
          <w:tcPr>
            <w:tcW w:w="5949" w:type="dxa"/>
          </w:tcPr>
          <w:p w:rsidR="00B22479" w:rsidRPr="00E65C96" w:rsidRDefault="00B22479" w:rsidP="00387E11">
            <w:pPr>
              <w:numPr>
                <w:ilvl w:val="0"/>
                <w:numId w:val="21"/>
              </w:numPr>
              <w:ind w:left="171" w:hanging="218"/>
              <w:jc w:val="both"/>
              <w:rPr>
                <w:rFonts w:cs="Times New Roman"/>
                <w:sz w:val="20"/>
                <w:szCs w:val="20"/>
              </w:rPr>
            </w:pPr>
            <w:r w:rsidRPr="00E65C96">
              <w:rPr>
                <w:rFonts w:cs="Times New Roman"/>
                <w:sz w:val="20"/>
                <w:szCs w:val="20"/>
              </w:rPr>
              <w:t>Servidores públicos que se encuentran en periodo de transición (Art. 25)</w:t>
            </w:r>
          </w:p>
        </w:tc>
        <w:tc>
          <w:tcPr>
            <w:tcW w:w="2551" w:type="dxa"/>
          </w:tcPr>
          <w:p w:rsidR="00B22479" w:rsidRPr="00E65C96" w:rsidRDefault="00B22479" w:rsidP="00387E11">
            <w:pPr>
              <w:jc w:val="both"/>
              <w:rPr>
                <w:rFonts w:cs="Times New Roman"/>
                <w:sz w:val="20"/>
                <w:szCs w:val="20"/>
              </w:rPr>
            </w:pPr>
            <w:r w:rsidRPr="00E65C96">
              <w:rPr>
                <w:rFonts w:cs="Times New Roman"/>
                <w:sz w:val="20"/>
                <w:szCs w:val="20"/>
              </w:rPr>
              <w:t>SI</w:t>
            </w:r>
          </w:p>
        </w:tc>
        <w:tc>
          <w:tcPr>
            <w:tcW w:w="1560" w:type="dxa"/>
          </w:tcPr>
          <w:p w:rsidR="00B22479" w:rsidRPr="00E65C96" w:rsidRDefault="00B22479" w:rsidP="00387E11">
            <w:pPr>
              <w:jc w:val="both"/>
              <w:rPr>
                <w:rFonts w:cs="Times New Roman"/>
                <w:sz w:val="20"/>
                <w:szCs w:val="20"/>
              </w:rPr>
            </w:pPr>
            <w:r w:rsidRPr="00E65C96">
              <w:rPr>
                <w:rFonts w:cs="Times New Roman"/>
                <w:sz w:val="20"/>
                <w:szCs w:val="20"/>
              </w:rPr>
              <w:t>SÍ</w:t>
            </w:r>
          </w:p>
        </w:tc>
      </w:tr>
    </w:tbl>
    <w:p w:rsidR="00B22479" w:rsidRDefault="00B22479" w:rsidP="00B22479">
      <w:pPr>
        <w:jc w:val="both"/>
        <w:rPr>
          <w:rFonts w:cs="Times New Roman"/>
          <w:sz w:val="22"/>
          <w:szCs w:val="22"/>
        </w:rPr>
      </w:pPr>
    </w:p>
    <w:p w:rsidR="00B22479" w:rsidRDefault="00B22479" w:rsidP="00B22479">
      <w:pPr>
        <w:jc w:val="both"/>
        <w:rPr>
          <w:rFonts w:cs="Times New Roman"/>
          <w:sz w:val="22"/>
          <w:szCs w:val="22"/>
        </w:rPr>
      </w:pPr>
      <w:r>
        <w:rPr>
          <w:rFonts w:cs="Times New Roman"/>
          <w:sz w:val="22"/>
          <w:szCs w:val="22"/>
        </w:rPr>
        <w:t>Cabe señalar que, en los casos arriba señalados, si bien la evaluación del desempeño no es obligatoria, en caso de que pudiera llevarse a cabo (por ejemplo, para servidores públicos que ocupan plazas de gabinete de apoyo o enlaces de primer nivel de ingreso en el supuesto del numeral 370 de las Disposiciones en materia de RH y SPC –Manual), entonces se tomará en cuenta de modo positivo, como servidor público profesionalizado.</w:t>
      </w:r>
    </w:p>
    <w:p w:rsidR="00B22479" w:rsidRDefault="00B22479" w:rsidP="00B22479">
      <w:pPr>
        <w:jc w:val="both"/>
        <w:rPr>
          <w:rFonts w:cs="Times New Roman"/>
          <w:sz w:val="22"/>
          <w:szCs w:val="22"/>
        </w:rPr>
      </w:pPr>
    </w:p>
    <w:p w:rsidR="00B22479" w:rsidRDefault="00B22479" w:rsidP="00B22479">
      <w:pPr>
        <w:jc w:val="both"/>
        <w:rPr>
          <w:rFonts w:cs="Times New Roman"/>
          <w:sz w:val="22"/>
          <w:szCs w:val="22"/>
        </w:rPr>
      </w:pPr>
      <w:r>
        <w:rPr>
          <w:rFonts w:cs="Times New Roman"/>
          <w:sz w:val="22"/>
          <w:szCs w:val="22"/>
        </w:rPr>
        <w:t xml:space="preserve">Sólo para la variable de Evaluación del Desempeño, se considera la evaluación aplicada EN el ejercicio que se reporta para este indicador. Por ejemplo, para el reporte del PGCyM correspondiente a 2014, la evaluación aplicada a los servidores públicos corresponde a la evaluación anual del desempeño 2013, misma que se aplicó en los meses de enero y febrero de 2014. </w:t>
      </w:r>
    </w:p>
    <w:p w:rsidR="00B22479" w:rsidRDefault="00B22479" w:rsidP="00B22479">
      <w:pPr>
        <w:jc w:val="both"/>
        <w:rPr>
          <w:rFonts w:cs="Times New Roman"/>
          <w:sz w:val="22"/>
          <w:szCs w:val="22"/>
        </w:rPr>
      </w:pPr>
    </w:p>
    <w:p w:rsidR="00B22479" w:rsidRPr="00AE7197" w:rsidRDefault="00B22479" w:rsidP="00B22479">
      <w:pPr>
        <w:jc w:val="both"/>
        <w:rPr>
          <w:rFonts w:cs="Times New Roman"/>
          <w:sz w:val="22"/>
          <w:szCs w:val="22"/>
        </w:rPr>
      </w:pPr>
      <w:r w:rsidRPr="00AE7197">
        <w:rPr>
          <w:rFonts w:cs="Times New Roman"/>
          <w:sz w:val="22"/>
          <w:szCs w:val="22"/>
        </w:rPr>
        <w:t>Para calcular el número de servidores públicos profesionalizados se recomienda:</w:t>
      </w:r>
    </w:p>
    <w:p w:rsidR="00B22479" w:rsidRDefault="00B22479" w:rsidP="00B22479">
      <w:pPr>
        <w:ind w:left="708"/>
        <w:jc w:val="both"/>
        <w:rPr>
          <w:rFonts w:cs="Times New Roman"/>
          <w:sz w:val="22"/>
          <w:szCs w:val="22"/>
        </w:rPr>
      </w:pPr>
    </w:p>
    <w:p w:rsidR="00B22479" w:rsidRDefault="00B22479" w:rsidP="00B22479">
      <w:pPr>
        <w:pStyle w:val="Prrafodelista"/>
        <w:numPr>
          <w:ilvl w:val="0"/>
          <w:numId w:val="23"/>
        </w:numPr>
        <w:ind w:left="426"/>
        <w:jc w:val="both"/>
        <w:rPr>
          <w:rFonts w:cs="Times New Roman"/>
          <w:sz w:val="22"/>
          <w:szCs w:val="22"/>
        </w:rPr>
      </w:pPr>
      <w:r>
        <w:rPr>
          <w:rFonts w:cs="Times New Roman"/>
          <w:sz w:val="22"/>
          <w:szCs w:val="22"/>
        </w:rPr>
        <w:t>Llenar la siguiente tabla para todos los servidores públicos señalados de acuerdo a los criterios.</w:t>
      </w:r>
    </w:p>
    <w:p w:rsidR="00B22479" w:rsidRPr="00C43E0B" w:rsidRDefault="00B22479" w:rsidP="00B22479">
      <w:pPr>
        <w:pStyle w:val="Prrafodelista"/>
        <w:ind w:left="1068"/>
        <w:jc w:val="both"/>
        <w:rPr>
          <w:rFonts w:cs="Times New Roman"/>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1271"/>
        <w:gridCol w:w="1209"/>
        <w:gridCol w:w="1240"/>
        <w:gridCol w:w="1138"/>
        <w:gridCol w:w="1178"/>
        <w:gridCol w:w="1399"/>
      </w:tblGrid>
      <w:tr w:rsidR="00B22479" w:rsidRPr="009F2A7E" w:rsidTr="00387E11">
        <w:trPr>
          <w:trHeight w:val="288"/>
          <w:jc w:val="center"/>
        </w:trPr>
        <w:tc>
          <w:tcPr>
            <w:tcW w:w="2300" w:type="dxa"/>
            <w:shd w:val="clear" w:color="auto" w:fill="D9D9D9" w:themeFill="background1" w:themeFillShade="D9"/>
            <w:noWrap/>
            <w:vAlign w:val="bottom"/>
            <w:hideMark/>
          </w:tcPr>
          <w:p w:rsidR="00B22479" w:rsidRPr="009F2A7E" w:rsidRDefault="00B22479" w:rsidP="00387E11">
            <w:pPr>
              <w:jc w:val="center"/>
              <w:rPr>
                <w:rFonts w:ascii="Times New Roman" w:hAnsi="Times New Roman" w:cs="Times New Roman"/>
                <w:sz w:val="20"/>
                <w:szCs w:val="20"/>
              </w:rPr>
            </w:pPr>
          </w:p>
        </w:tc>
        <w:tc>
          <w:tcPr>
            <w:tcW w:w="2480" w:type="dxa"/>
            <w:gridSpan w:val="2"/>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Evaluación de Desempeño</w:t>
            </w:r>
            <w:r>
              <w:rPr>
                <w:rFonts w:ascii="Calibri" w:hAnsi="Calibri" w:cs="Times New Roman"/>
                <w:color w:val="000000"/>
                <w:sz w:val="22"/>
                <w:szCs w:val="22"/>
              </w:rPr>
              <w:t xml:space="preserve"> orientada a Objetivos Estratégicos (ED)</w:t>
            </w:r>
          </w:p>
        </w:tc>
        <w:tc>
          <w:tcPr>
            <w:tcW w:w="1240"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p>
        </w:tc>
        <w:tc>
          <w:tcPr>
            <w:tcW w:w="3715" w:type="dxa"/>
            <w:gridSpan w:val="3"/>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Capacitación Especializada</w:t>
            </w:r>
            <w:r>
              <w:rPr>
                <w:rFonts w:ascii="Calibri" w:hAnsi="Calibri" w:cs="Times New Roman"/>
                <w:color w:val="000000"/>
                <w:sz w:val="22"/>
                <w:szCs w:val="22"/>
              </w:rPr>
              <w:t xml:space="preserve"> orientada a Objetivos Estratégicos (CE)</w:t>
            </w:r>
          </w:p>
        </w:tc>
      </w:tr>
      <w:tr w:rsidR="00B22479" w:rsidRPr="009F2A7E" w:rsidTr="00387E11">
        <w:trPr>
          <w:trHeight w:val="288"/>
          <w:jc w:val="center"/>
        </w:trPr>
        <w:tc>
          <w:tcPr>
            <w:tcW w:w="2300" w:type="dxa"/>
            <w:shd w:val="clear" w:color="auto" w:fill="D9D9D9" w:themeFill="background1" w:themeFillShade="D9"/>
            <w:noWrap/>
            <w:vAlign w:val="bottom"/>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Servidor Publico</w:t>
            </w:r>
          </w:p>
        </w:tc>
        <w:tc>
          <w:tcPr>
            <w:tcW w:w="1271"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Evaluable</w:t>
            </w:r>
          </w:p>
        </w:tc>
        <w:tc>
          <w:tcPr>
            <w:tcW w:w="1209"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Evaluado</w:t>
            </w:r>
          </w:p>
        </w:tc>
        <w:tc>
          <w:tcPr>
            <w:tcW w:w="1240"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Resultado</w:t>
            </w:r>
            <w:r>
              <w:rPr>
                <w:rFonts w:ascii="Calibri" w:hAnsi="Calibri" w:cs="Times New Roman"/>
                <w:color w:val="000000"/>
                <w:sz w:val="22"/>
                <w:szCs w:val="22"/>
              </w:rPr>
              <w:t xml:space="preserve"> ED</w:t>
            </w:r>
          </w:p>
        </w:tc>
        <w:tc>
          <w:tcPr>
            <w:tcW w:w="1138"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Capacitado</w:t>
            </w:r>
          </w:p>
        </w:tc>
        <w:tc>
          <w:tcPr>
            <w:tcW w:w="1178"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Resultado</w:t>
            </w:r>
            <w:r>
              <w:rPr>
                <w:rFonts w:ascii="Calibri" w:hAnsi="Calibri" w:cs="Times New Roman"/>
                <w:color w:val="000000"/>
                <w:sz w:val="22"/>
                <w:szCs w:val="22"/>
              </w:rPr>
              <w:t xml:space="preserve"> CE</w:t>
            </w:r>
          </w:p>
        </w:tc>
        <w:tc>
          <w:tcPr>
            <w:tcW w:w="1399" w:type="dxa"/>
            <w:shd w:val="clear" w:color="auto" w:fill="D9D9D9" w:themeFill="background1" w:themeFillShade="D9"/>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 xml:space="preserve">Resultado </w:t>
            </w:r>
            <w:r>
              <w:rPr>
                <w:rFonts w:ascii="Calibri" w:hAnsi="Calibri" w:cs="Times New Roman"/>
                <w:color w:val="000000"/>
                <w:sz w:val="22"/>
                <w:szCs w:val="22"/>
              </w:rPr>
              <w:t>F</w:t>
            </w:r>
            <w:r w:rsidRPr="009F2A7E">
              <w:rPr>
                <w:rFonts w:ascii="Calibri" w:hAnsi="Calibri" w:cs="Times New Roman"/>
                <w:color w:val="000000"/>
                <w:sz w:val="22"/>
                <w:szCs w:val="22"/>
              </w:rPr>
              <w:t>inal</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1</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2</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3</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4</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5</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Pr>
                <w:rFonts w:ascii="Calibri" w:hAnsi="Calibri" w:cs="Times New Roman"/>
                <w:color w:val="000000"/>
                <w:sz w:val="22"/>
                <w:szCs w:val="22"/>
              </w:rPr>
              <w:t>1</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Pr>
                <w:rFonts w:ascii="Calibri" w:hAnsi="Calibri" w:cs="Times New Roman"/>
                <w:color w:val="000000"/>
                <w:sz w:val="22"/>
                <w:szCs w:val="22"/>
              </w:rPr>
              <w:t>1</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6</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Pr>
                <w:rFonts w:ascii="Calibri" w:hAnsi="Calibri" w:cs="Times New Roman"/>
                <w:color w:val="000000"/>
                <w:sz w:val="22"/>
                <w:szCs w:val="22"/>
              </w:rPr>
              <w:t>1</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7</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si</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r>
      <w:tr w:rsidR="00B22479" w:rsidRPr="009F2A7E" w:rsidTr="00387E11">
        <w:trPr>
          <w:trHeight w:val="288"/>
          <w:jc w:val="center"/>
        </w:trPr>
        <w:tc>
          <w:tcPr>
            <w:tcW w:w="2300" w:type="dxa"/>
            <w:shd w:val="clear" w:color="auto" w:fill="auto"/>
            <w:noWrap/>
            <w:vAlign w:val="bottom"/>
            <w:hideMark/>
          </w:tcPr>
          <w:p w:rsidR="00B22479" w:rsidRPr="009F2A7E" w:rsidRDefault="00B22479" w:rsidP="00387E11">
            <w:pPr>
              <w:rPr>
                <w:rFonts w:ascii="Calibri" w:hAnsi="Calibri" w:cs="Times New Roman"/>
                <w:color w:val="000000"/>
                <w:sz w:val="22"/>
                <w:szCs w:val="22"/>
              </w:rPr>
            </w:pPr>
            <w:r>
              <w:rPr>
                <w:rFonts w:ascii="Calibri" w:hAnsi="Calibri" w:cs="Times New Roman"/>
                <w:color w:val="000000"/>
                <w:sz w:val="22"/>
                <w:szCs w:val="22"/>
              </w:rPr>
              <w:t>Servidor Público 8</w:t>
            </w:r>
          </w:p>
        </w:tc>
        <w:tc>
          <w:tcPr>
            <w:tcW w:w="1271"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0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240"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1</w:t>
            </w:r>
          </w:p>
        </w:tc>
        <w:tc>
          <w:tcPr>
            <w:tcW w:w="113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no</w:t>
            </w:r>
          </w:p>
        </w:tc>
        <w:tc>
          <w:tcPr>
            <w:tcW w:w="1178"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c>
          <w:tcPr>
            <w:tcW w:w="1399" w:type="dxa"/>
            <w:shd w:val="clear" w:color="auto" w:fill="auto"/>
            <w:noWrap/>
            <w:vAlign w:val="center"/>
            <w:hideMark/>
          </w:tcPr>
          <w:p w:rsidR="00B22479" w:rsidRPr="009F2A7E" w:rsidRDefault="00B22479" w:rsidP="00387E11">
            <w:pPr>
              <w:jc w:val="center"/>
              <w:rPr>
                <w:rFonts w:ascii="Calibri" w:hAnsi="Calibri" w:cs="Times New Roman"/>
                <w:color w:val="000000"/>
                <w:sz w:val="22"/>
                <w:szCs w:val="22"/>
              </w:rPr>
            </w:pPr>
            <w:r w:rsidRPr="009F2A7E">
              <w:rPr>
                <w:rFonts w:ascii="Calibri" w:hAnsi="Calibri" w:cs="Times New Roman"/>
                <w:color w:val="000000"/>
                <w:sz w:val="22"/>
                <w:szCs w:val="22"/>
              </w:rPr>
              <w:t>0</w:t>
            </w:r>
          </w:p>
        </w:tc>
      </w:tr>
    </w:tbl>
    <w:p w:rsidR="00B22479" w:rsidRDefault="00B22479" w:rsidP="00B22479">
      <w:pPr>
        <w:ind w:left="708"/>
        <w:jc w:val="both"/>
        <w:rPr>
          <w:rFonts w:cs="Times New Roman"/>
          <w:sz w:val="22"/>
          <w:szCs w:val="22"/>
        </w:rPr>
      </w:pPr>
    </w:p>
    <w:p w:rsidR="00B22479" w:rsidRDefault="00B22479" w:rsidP="00B22479">
      <w:pPr>
        <w:ind w:left="142"/>
        <w:jc w:val="both"/>
        <w:rPr>
          <w:rFonts w:cs="Times New Roman"/>
          <w:sz w:val="22"/>
          <w:szCs w:val="22"/>
        </w:rPr>
      </w:pPr>
      <w:r>
        <w:rPr>
          <w:rFonts w:cs="Times New Roman"/>
          <w:sz w:val="22"/>
          <w:szCs w:val="22"/>
        </w:rPr>
        <w:t>En donde:</w:t>
      </w:r>
    </w:p>
    <w:p w:rsidR="00B22479" w:rsidRDefault="00B22479" w:rsidP="00B22479">
      <w:pPr>
        <w:ind w:left="708"/>
        <w:jc w:val="both"/>
        <w:rPr>
          <w:rFonts w:cs="Times New Roman"/>
          <w:sz w:val="22"/>
          <w:szCs w:val="22"/>
        </w:rPr>
      </w:pPr>
    </w:p>
    <w:p w:rsidR="00B22479" w:rsidRPr="00AE7197" w:rsidRDefault="00B22479" w:rsidP="00B22479">
      <w:pPr>
        <w:pStyle w:val="Prrafodelista"/>
        <w:numPr>
          <w:ilvl w:val="0"/>
          <w:numId w:val="21"/>
        </w:numPr>
        <w:ind w:left="567"/>
        <w:jc w:val="both"/>
        <w:rPr>
          <w:rFonts w:cs="Times New Roman"/>
          <w:sz w:val="22"/>
          <w:szCs w:val="22"/>
        </w:rPr>
      </w:pPr>
      <w:r w:rsidRPr="00AE7197">
        <w:rPr>
          <w:rFonts w:cs="Times New Roman"/>
          <w:sz w:val="22"/>
          <w:szCs w:val="22"/>
        </w:rPr>
        <w:t xml:space="preserve">Resultado ED, implica el cumplimiento de la primera variable del indicador, ya sea porque se trata de un servidor público con evaluación </w:t>
      </w:r>
      <w:r w:rsidRPr="00AE7197">
        <w:rPr>
          <w:rFonts w:cs="Times New Roman"/>
          <w:sz w:val="22"/>
          <w:szCs w:val="22"/>
        </w:rPr>
        <w:lastRenderedPageBreak/>
        <w:t>del desempeño obligatoria aplicada, o un servidor público que no fue evaluado porque no era su obligación contar con dicha evaluación (lo cual no le cuenta en negativo), o bien un servidor público no obligado a contar con evaluación del desempeño pero que sí fue evaluado (lo cual le cuenta en sentido positivo) para esta primer variable del indicador).</w:t>
      </w:r>
    </w:p>
    <w:p w:rsidR="00B22479" w:rsidRDefault="00B22479" w:rsidP="00B22479">
      <w:pPr>
        <w:ind w:left="567"/>
        <w:jc w:val="both"/>
        <w:rPr>
          <w:rFonts w:cs="Times New Roman"/>
          <w:sz w:val="22"/>
          <w:szCs w:val="22"/>
        </w:rPr>
      </w:pPr>
    </w:p>
    <w:p w:rsidR="00B22479" w:rsidRPr="00AE7197" w:rsidRDefault="00B22479" w:rsidP="00B22479">
      <w:pPr>
        <w:pStyle w:val="Prrafodelista"/>
        <w:numPr>
          <w:ilvl w:val="0"/>
          <w:numId w:val="21"/>
        </w:numPr>
        <w:ind w:left="567"/>
        <w:jc w:val="both"/>
        <w:rPr>
          <w:rFonts w:cs="Times New Roman"/>
          <w:sz w:val="22"/>
          <w:szCs w:val="22"/>
        </w:rPr>
      </w:pPr>
      <w:r w:rsidRPr="00AE7197">
        <w:rPr>
          <w:rFonts w:cs="Times New Roman"/>
          <w:sz w:val="22"/>
          <w:szCs w:val="22"/>
        </w:rPr>
        <w:t>Resultado CE, implica el cumplimiento de la segunda variable del indicador, en donde cuentan los servidores públicos que sí fueron capacitados.</w:t>
      </w:r>
    </w:p>
    <w:p w:rsidR="00B22479" w:rsidRDefault="00B22479" w:rsidP="00B22479">
      <w:pPr>
        <w:ind w:left="567"/>
        <w:jc w:val="both"/>
        <w:rPr>
          <w:rFonts w:cs="Times New Roman"/>
          <w:sz w:val="22"/>
          <w:szCs w:val="22"/>
        </w:rPr>
      </w:pPr>
    </w:p>
    <w:p w:rsidR="00B22479" w:rsidRPr="00AE7197" w:rsidRDefault="00B22479" w:rsidP="00B22479">
      <w:pPr>
        <w:pStyle w:val="Prrafodelista"/>
        <w:numPr>
          <w:ilvl w:val="0"/>
          <w:numId w:val="21"/>
        </w:numPr>
        <w:ind w:left="567"/>
        <w:jc w:val="both"/>
        <w:rPr>
          <w:rFonts w:cs="Times New Roman"/>
          <w:sz w:val="22"/>
          <w:szCs w:val="22"/>
        </w:rPr>
      </w:pPr>
      <w:r w:rsidRPr="00AE7197">
        <w:rPr>
          <w:rFonts w:cs="Times New Roman"/>
          <w:sz w:val="22"/>
          <w:szCs w:val="22"/>
        </w:rPr>
        <w:t>El Resultado Final implica el cumplimiento de las dos variables del indicador (servidor público evaluado en su desempeño y  con capacitación especializada). ESTE RESULTADO ES EL QUE SE CONTABILIZA PARA OBTENER EL NUMERADOR DEL INDICADOR</w:t>
      </w:r>
      <w:r>
        <w:rPr>
          <w:rFonts w:cs="Times New Roman"/>
          <w:sz w:val="22"/>
          <w:szCs w:val="22"/>
        </w:rPr>
        <w:t xml:space="preserve"> (SUMA DE TODOS LOS SERVIDORES PÚBLICOS QUE OBTIENEN VALOR 1 EN ESTA COLUMNA. CORRESPONDE AL </w:t>
      </w:r>
      <w:r w:rsidRPr="00AE7197">
        <w:rPr>
          <w:rFonts w:cs="Times New Roman"/>
          <w:b/>
          <w:sz w:val="22"/>
          <w:szCs w:val="22"/>
        </w:rPr>
        <w:t>NÚMERO DE “SERVIDORES PÚBLICOS PROFESIONALIZADOS</w:t>
      </w:r>
      <w:r>
        <w:rPr>
          <w:rFonts w:cs="Times New Roman"/>
          <w:sz w:val="22"/>
          <w:szCs w:val="22"/>
        </w:rPr>
        <w:t>)</w:t>
      </w:r>
    </w:p>
    <w:p w:rsidR="00B22479" w:rsidRPr="009F2A7E" w:rsidRDefault="00B22479" w:rsidP="00B22479">
      <w:pPr>
        <w:ind w:left="708"/>
        <w:jc w:val="both"/>
        <w:rPr>
          <w:rFonts w:cs="Times New Roman"/>
          <w:sz w:val="22"/>
          <w:szCs w:val="22"/>
        </w:rPr>
      </w:pPr>
    </w:p>
    <w:p w:rsidR="00B22479" w:rsidRPr="00F33F2E" w:rsidRDefault="00B22479" w:rsidP="00B22479">
      <w:pPr>
        <w:pStyle w:val="Prrafodelista"/>
        <w:numPr>
          <w:ilvl w:val="0"/>
          <w:numId w:val="23"/>
        </w:numPr>
        <w:ind w:left="426"/>
        <w:jc w:val="both"/>
        <w:rPr>
          <w:rFonts w:cs="Times New Roman"/>
          <w:sz w:val="22"/>
          <w:szCs w:val="22"/>
        </w:rPr>
      </w:pPr>
      <w:r>
        <w:rPr>
          <w:rFonts w:cs="Times New Roman"/>
          <w:sz w:val="22"/>
          <w:szCs w:val="22"/>
        </w:rPr>
        <w:t xml:space="preserve">Para calcular el resultado del indicador se divide el </w:t>
      </w:r>
      <w:r w:rsidRPr="00AE7197">
        <w:rPr>
          <w:rFonts w:cs="Times New Roman"/>
          <w:b/>
          <w:sz w:val="22"/>
          <w:szCs w:val="22"/>
        </w:rPr>
        <w:t>NÚMERO DE “SERVIDORES PÚBLICOS PROFESIONALIZADOS</w:t>
      </w:r>
      <w:r>
        <w:rPr>
          <w:rFonts w:cs="Times New Roman"/>
          <w:b/>
          <w:sz w:val="22"/>
          <w:szCs w:val="22"/>
        </w:rPr>
        <w:t xml:space="preserve"> /</w:t>
      </w:r>
      <w:r>
        <w:rPr>
          <w:rFonts w:cs="Times New Roman"/>
          <w:sz w:val="22"/>
          <w:szCs w:val="22"/>
        </w:rPr>
        <w:t xml:space="preserve"> </w:t>
      </w:r>
      <w:r w:rsidRPr="00AE7197">
        <w:rPr>
          <w:rFonts w:cs="Times New Roman"/>
          <w:b/>
          <w:sz w:val="22"/>
          <w:szCs w:val="22"/>
        </w:rPr>
        <w:t>TOTAL DE SERVIDORES PÚBLICOS EN LA INSTITUCIÓN</w:t>
      </w:r>
      <w:r>
        <w:rPr>
          <w:rFonts w:cs="Times New Roman"/>
          <w:sz w:val="22"/>
          <w:szCs w:val="22"/>
        </w:rPr>
        <w:t xml:space="preserve"> </w:t>
      </w:r>
      <w:r w:rsidRPr="00AE7197">
        <w:rPr>
          <w:rFonts w:cs="Times New Roman"/>
          <w:b/>
          <w:sz w:val="22"/>
          <w:szCs w:val="22"/>
        </w:rPr>
        <w:t>*100</w:t>
      </w:r>
    </w:p>
    <w:p w:rsidR="00B22479" w:rsidRDefault="00B22479" w:rsidP="00B22479">
      <w:pPr>
        <w:pStyle w:val="Prrafodelista"/>
        <w:ind w:left="426"/>
        <w:jc w:val="both"/>
        <w:rPr>
          <w:rFonts w:cs="Times New Roman"/>
          <w:sz w:val="22"/>
          <w:szCs w:val="22"/>
        </w:rPr>
      </w:pPr>
    </w:p>
    <w:p w:rsidR="00B22479" w:rsidRDefault="00B22479" w:rsidP="00B22479">
      <w:pPr>
        <w:pStyle w:val="Prrafodelista"/>
        <w:ind w:left="426"/>
        <w:jc w:val="both"/>
        <w:rPr>
          <w:rFonts w:cs="Times New Roman"/>
          <w:sz w:val="22"/>
          <w:szCs w:val="22"/>
        </w:rPr>
      </w:pPr>
    </w:p>
    <w:p w:rsidR="00B22479" w:rsidRPr="00F33F2E" w:rsidRDefault="00B22479" w:rsidP="00B22479">
      <w:pPr>
        <w:pStyle w:val="Prrafodelista"/>
        <w:ind w:left="426"/>
        <w:jc w:val="both"/>
        <w:rPr>
          <w:rFonts w:cs="Times New Roman"/>
          <w:sz w:val="22"/>
          <w:szCs w:val="22"/>
        </w:rPr>
      </w:pPr>
    </w:p>
    <w:p w:rsidR="00B22479" w:rsidRPr="008E6B48" w:rsidRDefault="00B22479" w:rsidP="00B22479">
      <w:pPr>
        <w:pStyle w:val="Prrafodelista"/>
        <w:numPr>
          <w:ilvl w:val="0"/>
          <w:numId w:val="23"/>
        </w:numPr>
        <w:ind w:left="426"/>
        <w:jc w:val="both"/>
        <w:rPr>
          <w:rFonts w:cs="Times New Roman"/>
          <w:sz w:val="22"/>
          <w:szCs w:val="22"/>
        </w:rPr>
      </w:pPr>
      <w:r>
        <w:rPr>
          <w:rFonts w:cs="Times New Roman"/>
          <w:b/>
          <w:sz w:val="22"/>
          <w:szCs w:val="22"/>
        </w:rPr>
        <w:t>Es importante señalar que la información de evaluados y capacitados debe coincidir con la información enviada a la Secretaría de la Función Pública en los reportes de resultados de evaluación del desempeño, así como los de capacitación correspondientes a la operación normal de los procesos, de conformidad a la normatividad aplicable.</w:t>
      </w:r>
    </w:p>
    <w:p w:rsidR="00B22479" w:rsidRPr="008E6B48" w:rsidRDefault="00B22479" w:rsidP="00B22479">
      <w:pPr>
        <w:pStyle w:val="Prrafodelista"/>
        <w:rPr>
          <w:rFonts w:cs="Times New Roman"/>
          <w:sz w:val="22"/>
          <w:szCs w:val="22"/>
        </w:rPr>
      </w:pPr>
    </w:p>
    <w:p w:rsidR="00B22479" w:rsidRPr="008E6B48" w:rsidRDefault="00B22479" w:rsidP="00B22479">
      <w:pPr>
        <w:pStyle w:val="Prrafodelista"/>
        <w:numPr>
          <w:ilvl w:val="0"/>
          <w:numId w:val="23"/>
        </w:numPr>
        <w:ind w:left="426"/>
        <w:jc w:val="both"/>
        <w:rPr>
          <w:rFonts w:cs="Times New Roman"/>
          <w:sz w:val="22"/>
          <w:szCs w:val="22"/>
        </w:rPr>
      </w:pPr>
      <w:r>
        <w:rPr>
          <w:rFonts w:cs="Times New Roman"/>
          <w:sz w:val="22"/>
          <w:szCs w:val="22"/>
        </w:rPr>
        <w:t>Las instituciones deberán contar con los soportes y evidencias de la información reportada, la cual deberá estar disponible para cualquier supervisión o requerimiento de la misma.</w:t>
      </w:r>
    </w:p>
    <w:p w:rsidR="007F35B1" w:rsidRPr="007F35B1" w:rsidRDefault="007F35B1" w:rsidP="00B22479">
      <w:pPr>
        <w:jc w:val="center"/>
        <w:rPr>
          <w:rFonts w:cs="Times New Roman"/>
          <w:sz w:val="22"/>
          <w:szCs w:val="22"/>
        </w:rPr>
      </w:pPr>
    </w:p>
    <w:sectPr w:rsidR="007F35B1" w:rsidRPr="007F35B1" w:rsidSect="0097571A">
      <w:headerReference w:type="even" r:id="rId8"/>
      <w:headerReference w:type="first" r:id="rId9"/>
      <w:footerReference w:type="first" r:id="rId10"/>
      <w:type w:val="continuous"/>
      <w:pgSz w:w="12242" w:h="15842" w:code="1"/>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E9" w:rsidRDefault="009C24E9">
      <w:r>
        <w:separator/>
      </w:r>
    </w:p>
  </w:endnote>
  <w:endnote w:type="continuationSeparator" w:id="0">
    <w:p w:rsidR="009C24E9" w:rsidRDefault="009C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4"/>
        <w:szCs w:val="14"/>
      </w:rPr>
      <w:id w:val="-2035875727"/>
      <w:docPartObj>
        <w:docPartGallery w:val="Page Numbers (Top of Page)"/>
        <w:docPartUnique/>
      </w:docPartObj>
    </w:sdtPr>
    <w:sdtEndPr>
      <w:rPr>
        <w:sz w:val="28"/>
        <w:szCs w:val="28"/>
      </w:rPr>
    </w:sdtEndPr>
    <w:sdtContent>
      <w:p w:rsidR="00C05AD6" w:rsidRDefault="00C05AD6" w:rsidP="00C05AD6">
        <w:pPr>
          <w:pStyle w:val="Encabezado"/>
          <w:jc w:val="center"/>
          <w:rPr>
            <w:rFonts w:asciiTheme="majorHAnsi" w:eastAsiaTheme="majorEastAsia" w:hAnsiTheme="majorHAnsi" w:cstheme="majorBidi"/>
            <w:b/>
            <w:bCs/>
            <w:sz w:val="14"/>
            <w:szCs w:val="14"/>
          </w:rPr>
        </w:pPr>
        <w:r w:rsidRPr="00181378">
          <w:rPr>
            <w:rFonts w:asciiTheme="majorHAnsi" w:eastAsiaTheme="majorEastAsia" w:hAnsiTheme="majorHAnsi" w:cstheme="majorBidi"/>
            <w:sz w:val="14"/>
            <w:szCs w:val="14"/>
          </w:rPr>
          <w:t xml:space="preserve">Página </w:t>
        </w:r>
        <w:r w:rsidRPr="00181378">
          <w:rPr>
            <w:rFonts w:asciiTheme="majorHAnsi" w:eastAsiaTheme="majorEastAsia" w:hAnsiTheme="majorHAnsi" w:cstheme="majorBidi"/>
            <w:b/>
            <w:bCs/>
            <w:sz w:val="14"/>
            <w:szCs w:val="14"/>
          </w:rPr>
          <w:fldChar w:fldCharType="begin"/>
        </w:r>
        <w:r w:rsidRPr="00181378">
          <w:rPr>
            <w:rFonts w:asciiTheme="majorHAnsi" w:eastAsiaTheme="majorEastAsia" w:hAnsiTheme="majorHAnsi" w:cstheme="majorBidi"/>
            <w:b/>
            <w:bCs/>
            <w:sz w:val="14"/>
            <w:szCs w:val="14"/>
          </w:rPr>
          <w:instrText>PAGE  \* Arabic  \* MERGEFORMAT</w:instrText>
        </w:r>
        <w:r w:rsidRPr="00181378">
          <w:rPr>
            <w:rFonts w:asciiTheme="majorHAnsi" w:eastAsiaTheme="majorEastAsia" w:hAnsiTheme="majorHAnsi" w:cstheme="majorBidi"/>
            <w:b/>
            <w:bCs/>
            <w:sz w:val="14"/>
            <w:szCs w:val="14"/>
          </w:rPr>
          <w:fldChar w:fldCharType="separate"/>
        </w:r>
        <w:r w:rsidR="00841EC7">
          <w:rPr>
            <w:rFonts w:asciiTheme="majorHAnsi" w:eastAsiaTheme="majorEastAsia" w:hAnsiTheme="majorHAnsi" w:cstheme="majorBidi"/>
            <w:b/>
            <w:bCs/>
            <w:noProof/>
            <w:sz w:val="14"/>
            <w:szCs w:val="14"/>
          </w:rPr>
          <w:t>1</w:t>
        </w:r>
        <w:r w:rsidRPr="00181378">
          <w:rPr>
            <w:rFonts w:asciiTheme="majorHAnsi" w:eastAsiaTheme="majorEastAsia" w:hAnsiTheme="majorHAnsi" w:cstheme="majorBidi"/>
            <w:b/>
            <w:bCs/>
            <w:sz w:val="14"/>
            <w:szCs w:val="14"/>
          </w:rPr>
          <w:fldChar w:fldCharType="end"/>
        </w:r>
        <w:r w:rsidRPr="00181378">
          <w:rPr>
            <w:rFonts w:asciiTheme="majorHAnsi" w:eastAsiaTheme="majorEastAsia" w:hAnsiTheme="majorHAnsi" w:cstheme="majorBidi"/>
            <w:sz w:val="14"/>
            <w:szCs w:val="14"/>
          </w:rPr>
          <w:t xml:space="preserve"> de </w:t>
        </w:r>
        <w:r w:rsidRPr="00181378">
          <w:rPr>
            <w:rFonts w:asciiTheme="majorHAnsi" w:eastAsiaTheme="majorEastAsia" w:hAnsiTheme="majorHAnsi" w:cstheme="majorBidi"/>
            <w:b/>
            <w:bCs/>
            <w:sz w:val="14"/>
            <w:szCs w:val="14"/>
          </w:rPr>
          <w:fldChar w:fldCharType="begin"/>
        </w:r>
        <w:r w:rsidRPr="00181378">
          <w:rPr>
            <w:rFonts w:asciiTheme="majorHAnsi" w:eastAsiaTheme="majorEastAsia" w:hAnsiTheme="majorHAnsi" w:cstheme="majorBidi"/>
            <w:b/>
            <w:bCs/>
            <w:sz w:val="14"/>
            <w:szCs w:val="14"/>
          </w:rPr>
          <w:instrText>NUMPAGES  \* Arabic  \* MERGEFORMAT</w:instrText>
        </w:r>
        <w:r w:rsidRPr="00181378">
          <w:rPr>
            <w:rFonts w:asciiTheme="majorHAnsi" w:eastAsiaTheme="majorEastAsia" w:hAnsiTheme="majorHAnsi" w:cstheme="majorBidi"/>
            <w:b/>
            <w:bCs/>
            <w:sz w:val="14"/>
            <w:szCs w:val="14"/>
          </w:rPr>
          <w:fldChar w:fldCharType="separate"/>
        </w:r>
        <w:r w:rsidR="00841EC7">
          <w:rPr>
            <w:rFonts w:asciiTheme="majorHAnsi" w:eastAsiaTheme="majorEastAsia" w:hAnsiTheme="majorHAnsi" w:cstheme="majorBidi"/>
            <w:b/>
            <w:bCs/>
            <w:noProof/>
            <w:sz w:val="14"/>
            <w:szCs w:val="14"/>
          </w:rPr>
          <w:t>1</w:t>
        </w:r>
        <w:r w:rsidRPr="00181378">
          <w:rPr>
            <w:rFonts w:asciiTheme="majorHAnsi" w:eastAsiaTheme="majorEastAsia" w:hAnsiTheme="majorHAnsi" w:cstheme="majorBidi"/>
            <w:b/>
            <w:bCs/>
            <w:sz w:val="14"/>
            <w:szCs w:val="14"/>
          </w:rPr>
          <w:fldChar w:fldCharType="end"/>
        </w:r>
      </w:p>
      <w:p w:rsidR="00C05AD6" w:rsidRPr="00C05AD6" w:rsidRDefault="00C05AD6" w:rsidP="00C05AD6">
        <w:pPr>
          <w:pStyle w:val="Encabezado"/>
          <w:jc w:val="center"/>
          <w:rPr>
            <w:rFonts w:asciiTheme="majorHAnsi" w:eastAsiaTheme="majorEastAsia" w:hAnsiTheme="majorHAnsi" w:cstheme="majorBidi"/>
            <w:b/>
            <w:bCs/>
            <w:sz w:val="4"/>
            <w:szCs w:val="14"/>
          </w:rPr>
        </w:pPr>
      </w:p>
      <w:p w:rsidR="00C05AD6" w:rsidRPr="00223CF1" w:rsidRDefault="00C41FA7" w:rsidP="00C05AD6">
        <w:pPr>
          <w:spacing w:before="60"/>
          <w:jc w:val="center"/>
          <w:rPr>
            <w:rFonts w:ascii="Adobe Caslon Pro" w:hAnsi="Adobe Caslon Pro"/>
            <w:sz w:val="16"/>
            <w:szCs w:val="16"/>
          </w:rPr>
        </w:pPr>
        <w:r>
          <w:rPr>
            <w:rFonts w:ascii="Adobe Caslon Pro" w:hAnsi="Adobe Caslon Pro"/>
            <w:sz w:val="16"/>
            <w:szCs w:val="16"/>
          </w:rPr>
          <w:t>Miguel Laurent No. 235</w:t>
        </w:r>
        <w:r w:rsidR="00C05AD6" w:rsidRPr="00223CF1">
          <w:rPr>
            <w:rFonts w:ascii="Adobe Caslon Pro" w:hAnsi="Adobe Caslon Pro"/>
            <w:sz w:val="16"/>
            <w:szCs w:val="16"/>
          </w:rPr>
          <w:t xml:space="preserve">, </w:t>
        </w:r>
        <w:r>
          <w:rPr>
            <w:rFonts w:ascii="Adobe Caslon Pro" w:hAnsi="Adobe Caslon Pro"/>
            <w:sz w:val="16"/>
            <w:szCs w:val="16"/>
          </w:rPr>
          <w:t>Primer Piso,</w:t>
        </w:r>
        <w:r w:rsidR="00C05AD6" w:rsidRPr="00223CF1">
          <w:rPr>
            <w:rFonts w:ascii="Adobe Caslon Pro" w:hAnsi="Adobe Caslon Pro"/>
            <w:sz w:val="16"/>
            <w:szCs w:val="16"/>
          </w:rPr>
          <w:t xml:space="preserve"> Col. </w:t>
        </w:r>
        <w:r>
          <w:rPr>
            <w:rFonts w:ascii="Adobe Caslon Pro" w:hAnsi="Adobe Caslon Pro"/>
            <w:sz w:val="16"/>
            <w:szCs w:val="16"/>
          </w:rPr>
          <w:t>Del Valle, C.P. 03100</w:t>
        </w:r>
        <w:r w:rsidR="00C05AD6" w:rsidRPr="00223CF1">
          <w:rPr>
            <w:rFonts w:ascii="Adobe Caslon Pro" w:hAnsi="Adobe Caslon Pro"/>
            <w:sz w:val="16"/>
            <w:szCs w:val="16"/>
          </w:rPr>
          <w:t xml:space="preserve">,  Delegación </w:t>
        </w:r>
        <w:r>
          <w:rPr>
            <w:rFonts w:ascii="Adobe Caslon Pro" w:hAnsi="Adobe Caslon Pro"/>
            <w:sz w:val="16"/>
            <w:szCs w:val="16"/>
          </w:rPr>
          <w:t>Benito Juárez</w:t>
        </w:r>
        <w:r w:rsidR="00C05AD6" w:rsidRPr="00223CF1">
          <w:rPr>
            <w:rFonts w:ascii="Adobe Caslon Pro" w:hAnsi="Adobe Caslon Pro"/>
            <w:sz w:val="16"/>
            <w:szCs w:val="16"/>
          </w:rPr>
          <w:t>, México, D.F.,</w:t>
        </w:r>
      </w:p>
      <w:p w:rsidR="00C05AD6" w:rsidRDefault="00C05AD6" w:rsidP="00C05AD6">
        <w:pPr>
          <w:spacing w:before="60" w:line="180" w:lineRule="auto"/>
          <w:jc w:val="center"/>
          <w:rPr>
            <w:rFonts w:asciiTheme="majorHAnsi" w:eastAsiaTheme="majorEastAsia" w:hAnsiTheme="majorHAnsi" w:cstheme="majorBidi"/>
            <w:sz w:val="28"/>
            <w:szCs w:val="28"/>
          </w:rPr>
        </w:pPr>
        <w:r w:rsidRPr="00223CF1">
          <w:rPr>
            <w:rFonts w:ascii="Adobe Caslon Pro" w:hAnsi="Adobe Caslon Pro"/>
            <w:sz w:val="16"/>
            <w:szCs w:val="16"/>
          </w:rPr>
          <w:t xml:space="preserve">Tel.: (55) 2000 3000  </w:t>
        </w:r>
        <w:r w:rsidRPr="00223CF1">
          <w:rPr>
            <w:rFonts w:ascii="Adobe Caslon Pro" w:hAnsi="Adobe Caslon Pro"/>
            <w:b/>
            <w:sz w:val="16"/>
            <w:szCs w:val="16"/>
          </w:rPr>
          <w:t>www.funcionpublica.gob.mx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E9" w:rsidRDefault="009C24E9">
      <w:r>
        <w:separator/>
      </w:r>
    </w:p>
  </w:footnote>
  <w:footnote w:type="continuationSeparator" w:id="0">
    <w:p w:rsidR="009C24E9" w:rsidRDefault="009C2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B3" w:rsidRDefault="00F03BB3" w:rsidP="00813B8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BB3" w:rsidRDefault="00F03B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D6" w:rsidRDefault="00C05AD6" w:rsidP="00C05AD6">
    <w:pPr>
      <w:pStyle w:val="Encabezado"/>
      <w:jc w:val="center"/>
    </w:pPr>
    <w:r>
      <w:rPr>
        <w:b/>
        <w:bCs/>
        <w:noProof/>
        <w:color w:val="000000"/>
        <w:sz w:val="20"/>
        <w:szCs w:val="20"/>
        <w:lang w:eastAsia="es-MX"/>
      </w:rPr>
      <w:drawing>
        <wp:anchor distT="0" distB="0" distL="114300" distR="114300" simplePos="0" relativeHeight="251659264" behindDoc="1" locked="0" layoutInCell="0" allowOverlap="1" wp14:anchorId="781DA3A3" wp14:editId="241B9EF3">
          <wp:simplePos x="0" y="0"/>
          <wp:positionH relativeFrom="page">
            <wp:posOffset>-8626</wp:posOffset>
          </wp:positionH>
          <wp:positionV relativeFrom="margin">
            <wp:posOffset>-175895</wp:posOffset>
          </wp:positionV>
          <wp:extent cx="7772400" cy="9465310"/>
          <wp:effectExtent l="0" t="0" r="0" b="2540"/>
          <wp:wrapNone/>
          <wp:docPr id="1" name="Imagen 1" descr="fondo-hoja-membretada-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8151455" descr="fondo-hoja-membretada-byn"/>
                  <pic:cNvPicPr>
                    <a:picLocks noChangeAspect="1" noChangeArrowheads="1"/>
                  </pic:cNvPicPr>
                </pic:nvPicPr>
                <pic:blipFill>
                  <a:blip r:embed="rId1">
                    <a:extLst>
                      <a:ext uri="{28A0092B-C50C-407E-A947-70E740481C1C}">
                        <a14:useLocalDpi xmlns:a14="http://schemas.microsoft.com/office/drawing/2010/main" val="0"/>
                      </a:ext>
                    </a:extLst>
                  </a:blip>
                  <a:srcRect t="5896"/>
                  <a:stretch>
                    <a:fillRect/>
                  </a:stretch>
                </pic:blipFill>
                <pic:spPr bwMode="auto">
                  <a:xfrm>
                    <a:off x="0" y="0"/>
                    <a:ext cx="7772400" cy="9465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862784C"/>
    <w:lvl w:ilvl="0">
      <w:start w:val="1"/>
      <w:numFmt w:val="decimal"/>
      <w:lvlText w:val="%1."/>
      <w:lvlJc w:val="left"/>
      <w:pPr>
        <w:tabs>
          <w:tab w:val="num" w:pos="360"/>
        </w:tabs>
        <w:ind w:left="360" w:hanging="360"/>
      </w:pPr>
    </w:lvl>
  </w:abstractNum>
  <w:abstractNum w:abstractNumId="1">
    <w:nsid w:val="001730C7"/>
    <w:multiLevelType w:val="hybridMultilevel"/>
    <w:tmpl w:val="12C45596"/>
    <w:lvl w:ilvl="0" w:tplc="8B5CB44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560F52"/>
    <w:multiLevelType w:val="hybridMultilevel"/>
    <w:tmpl w:val="C2364BAA"/>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A66789"/>
    <w:multiLevelType w:val="hybridMultilevel"/>
    <w:tmpl w:val="91EEEE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4D46F8"/>
    <w:multiLevelType w:val="hybridMultilevel"/>
    <w:tmpl w:val="1B1A2212"/>
    <w:lvl w:ilvl="0" w:tplc="080A0001">
      <w:start w:val="1"/>
      <w:numFmt w:val="bullet"/>
      <w:lvlText w:val=""/>
      <w:lvlJc w:val="left"/>
      <w:pPr>
        <w:ind w:left="886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A93D01"/>
    <w:multiLevelType w:val="hybridMultilevel"/>
    <w:tmpl w:val="EBC0C29E"/>
    <w:lvl w:ilvl="0" w:tplc="DB4471A2">
      <w:start w:val="1"/>
      <w:numFmt w:val="decimal"/>
      <w:lvlText w:val="%1."/>
      <w:lvlJc w:val="left"/>
      <w:pPr>
        <w:tabs>
          <w:tab w:val="num" w:pos="360"/>
        </w:tabs>
        <w:ind w:left="360" w:hanging="360"/>
      </w:pPr>
      <w:rPr>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E7F1AFB"/>
    <w:multiLevelType w:val="hybridMultilevel"/>
    <w:tmpl w:val="935A536C"/>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747AB7"/>
    <w:multiLevelType w:val="hybridMultilevel"/>
    <w:tmpl w:val="2238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2C7811"/>
    <w:multiLevelType w:val="hybridMultilevel"/>
    <w:tmpl w:val="B27E01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BC31530"/>
    <w:multiLevelType w:val="hybridMultilevel"/>
    <w:tmpl w:val="A42E132E"/>
    <w:lvl w:ilvl="0" w:tplc="8B5CB446">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D0D7789"/>
    <w:multiLevelType w:val="hybridMultilevel"/>
    <w:tmpl w:val="865AC5BC"/>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26458E"/>
    <w:multiLevelType w:val="hybridMultilevel"/>
    <w:tmpl w:val="4CCA6DF4"/>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E41696"/>
    <w:multiLevelType w:val="hybridMultilevel"/>
    <w:tmpl w:val="9F3C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4C1EC6"/>
    <w:multiLevelType w:val="hybridMultilevel"/>
    <w:tmpl w:val="9984F5EA"/>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039678A"/>
    <w:multiLevelType w:val="hybridMultilevel"/>
    <w:tmpl w:val="B5A6466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880ADE"/>
    <w:multiLevelType w:val="hybridMultilevel"/>
    <w:tmpl w:val="3C3EA3F6"/>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B54010D"/>
    <w:multiLevelType w:val="hybridMultilevel"/>
    <w:tmpl w:val="89C02EA6"/>
    <w:lvl w:ilvl="0" w:tplc="2FC26E2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C771292"/>
    <w:multiLevelType w:val="hybridMultilevel"/>
    <w:tmpl w:val="9F4CD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1E74D3"/>
    <w:multiLevelType w:val="hybridMultilevel"/>
    <w:tmpl w:val="C456B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AC6066"/>
    <w:multiLevelType w:val="hybridMultilevel"/>
    <w:tmpl w:val="760E53EA"/>
    <w:lvl w:ilvl="0" w:tplc="377C0E8C">
      <w:start w:val="1"/>
      <w:numFmt w:val="bullet"/>
      <w:lvlText w:val=""/>
      <w:lvlJc w:val="left"/>
      <w:pPr>
        <w:ind w:left="1068" w:hanging="360"/>
      </w:pPr>
      <w:rPr>
        <w:rFonts w:ascii="Symbol" w:eastAsia="Times New Roman"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6B74168F"/>
    <w:multiLevelType w:val="hybridMultilevel"/>
    <w:tmpl w:val="E3329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BB3A84"/>
    <w:multiLevelType w:val="hybridMultilevel"/>
    <w:tmpl w:val="F1FC03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2F1237"/>
    <w:multiLevelType w:val="hybridMultilevel"/>
    <w:tmpl w:val="83B2AB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72A33896"/>
    <w:multiLevelType w:val="hybridMultilevel"/>
    <w:tmpl w:val="04907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7791E3D"/>
    <w:multiLevelType w:val="hybridMultilevel"/>
    <w:tmpl w:val="5CDCCDB2"/>
    <w:lvl w:ilvl="0" w:tplc="CEE4BAB4">
      <w:start w:val="1"/>
      <w:numFmt w:val="bullet"/>
      <w:lvlText w:val=""/>
      <w:lvlJc w:val="left"/>
      <w:pPr>
        <w:tabs>
          <w:tab w:val="num" w:pos="36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8D47A7"/>
    <w:multiLevelType w:val="hybridMultilevel"/>
    <w:tmpl w:val="1CC65600"/>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B65A31"/>
    <w:multiLevelType w:val="hybridMultilevel"/>
    <w:tmpl w:val="A61CF37A"/>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F703B9"/>
    <w:multiLevelType w:val="hybridMultilevel"/>
    <w:tmpl w:val="C9184E60"/>
    <w:lvl w:ilvl="0" w:tplc="1390CF2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CC273ED"/>
    <w:multiLevelType w:val="hybridMultilevel"/>
    <w:tmpl w:val="AFCA5758"/>
    <w:lvl w:ilvl="0" w:tplc="D0EED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26"/>
  </w:num>
  <w:num w:numId="4">
    <w:abstractNumId w:val="2"/>
  </w:num>
  <w:num w:numId="5">
    <w:abstractNumId w:val="10"/>
  </w:num>
  <w:num w:numId="6">
    <w:abstractNumId w:val="27"/>
  </w:num>
  <w:num w:numId="7">
    <w:abstractNumId w:val="15"/>
  </w:num>
  <w:num w:numId="8">
    <w:abstractNumId w:val="13"/>
  </w:num>
  <w:num w:numId="9">
    <w:abstractNumId w:val="11"/>
  </w:num>
  <w:num w:numId="10">
    <w:abstractNumId w:val="22"/>
  </w:num>
  <w:num w:numId="11">
    <w:abstractNumId w:val="25"/>
  </w:num>
  <w:num w:numId="12">
    <w:abstractNumId w:val="24"/>
  </w:num>
  <w:num w:numId="13">
    <w:abstractNumId w:val="9"/>
  </w:num>
  <w:num w:numId="14">
    <w:abstractNumId w:val="0"/>
  </w:num>
  <w:num w:numId="15">
    <w:abstractNumId w:val="1"/>
  </w:num>
  <w:num w:numId="16">
    <w:abstractNumId w:val="5"/>
  </w:num>
  <w:num w:numId="17">
    <w:abstractNumId w:val="23"/>
  </w:num>
  <w:num w:numId="18">
    <w:abstractNumId w:val="20"/>
  </w:num>
  <w:num w:numId="19">
    <w:abstractNumId w:val="14"/>
  </w:num>
  <w:num w:numId="20">
    <w:abstractNumId w:val="17"/>
  </w:num>
  <w:num w:numId="21">
    <w:abstractNumId w:val="4"/>
  </w:num>
  <w:num w:numId="22">
    <w:abstractNumId w:val="21"/>
  </w:num>
  <w:num w:numId="23">
    <w:abstractNumId w:val="16"/>
  </w:num>
  <w:num w:numId="24">
    <w:abstractNumId w:val="7"/>
  </w:num>
  <w:num w:numId="25">
    <w:abstractNumId w:val="3"/>
  </w:num>
  <w:num w:numId="26">
    <w:abstractNumId w:val="19"/>
  </w:num>
  <w:num w:numId="27">
    <w:abstractNumId w:val="12"/>
  </w:num>
  <w:num w:numId="28">
    <w:abstractNumId w:val="18"/>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s-E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BB"/>
    <w:rsid w:val="0000174F"/>
    <w:rsid w:val="00002445"/>
    <w:rsid w:val="00003183"/>
    <w:rsid w:val="00003552"/>
    <w:rsid w:val="00006966"/>
    <w:rsid w:val="0000762F"/>
    <w:rsid w:val="00012B19"/>
    <w:rsid w:val="00012C20"/>
    <w:rsid w:val="0001353F"/>
    <w:rsid w:val="00015399"/>
    <w:rsid w:val="000171F7"/>
    <w:rsid w:val="00017A47"/>
    <w:rsid w:val="00023B3A"/>
    <w:rsid w:val="00023E5A"/>
    <w:rsid w:val="000249B2"/>
    <w:rsid w:val="0003270B"/>
    <w:rsid w:val="0003346B"/>
    <w:rsid w:val="00036D3D"/>
    <w:rsid w:val="000406FC"/>
    <w:rsid w:val="00041275"/>
    <w:rsid w:val="0004180A"/>
    <w:rsid w:val="0004702C"/>
    <w:rsid w:val="000537E9"/>
    <w:rsid w:val="00055369"/>
    <w:rsid w:val="00057ADB"/>
    <w:rsid w:val="00061632"/>
    <w:rsid w:val="00063BC8"/>
    <w:rsid w:val="00067968"/>
    <w:rsid w:val="000719C6"/>
    <w:rsid w:val="000728C4"/>
    <w:rsid w:val="00077F3D"/>
    <w:rsid w:val="00081C64"/>
    <w:rsid w:val="00083A95"/>
    <w:rsid w:val="00084DD4"/>
    <w:rsid w:val="00085286"/>
    <w:rsid w:val="00086686"/>
    <w:rsid w:val="00094958"/>
    <w:rsid w:val="00094CFC"/>
    <w:rsid w:val="00096B6F"/>
    <w:rsid w:val="00096BC7"/>
    <w:rsid w:val="00096C55"/>
    <w:rsid w:val="000970B6"/>
    <w:rsid w:val="000A058A"/>
    <w:rsid w:val="000A1961"/>
    <w:rsid w:val="000A6FDF"/>
    <w:rsid w:val="000B14DF"/>
    <w:rsid w:val="000C173F"/>
    <w:rsid w:val="000C1D5D"/>
    <w:rsid w:val="000C4E24"/>
    <w:rsid w:val="000C536F"/>
    <w:rsid w:val="000C63BD"/>
    <w:rsid w:val="000D2F84"/>
    <w:rsid w:val="000D34A3"/>
    <w:rsid w:val="000D3A43"/>
    <w:rsid w:val="000D3D87"/>
    <w:rsid w:val="000D5988"/>
    <w:rsid w:val="000D5B0C"/>
    <w:rsid w:val="000D5D79"/>
    <w:rsid w:val="000E100B"/>
    <w:rsid w:val="000E1819"/>
    <w:rsid w:val="000E24ED"/>
    <w:rsid w:val="000E33D8"/>
    <w:rsid w:val="000E42F0"/>
    <w:rsid w:val="000E5401"/>
    <w:rsid w:val="000E6500"/>
    <w:rsid w:val="000E6D25"/>
    <w:rsid w:val="000F3723"/>
    <w:rsid w:val="000F440F"/>
    <w:rsid w:val="00100470"/>
    <w:rsid w:val="001035EF"/>
    <w:rsid w:val="00104036"/>
    <w:rsid w:val="001057B6"/>
    <w:rsid w:val="001063E7"/>
    <w:rsid w:val="0011393D"/>
    <w:rsid w:val="00115B5A"/>
    <w:rsid w:val="00116A79"/>
    <w:rsid w:val="001173F4"/>
    <w:rsid w:val="00117B06"/>
    <w:rsid w:val="001204D0"/>
    <w:rsid w:val="0012316F"/>
    <w:rsid w:val="00123176"/>
    <w:rsid w:val="001249AD"/>
    <w:rsid w:val="00127C0A"/>
    <w:rsid w:val="0013171D"/>
    <w:rsid w:val="00136A66"/>
    <w:rsid w:val="0014089A"/>
    <w:rsid w:val="001437A5"/>
    <w:rsid w:val="00146FE0"/>
    <w:rsid w:val="00151982"/>
    <w:rsid w:val="00153BB1"/>
    <w:rsid w:val="00154E3D"/>
    <w:rsid w:val="00160B96"/>
    <w:rsid w:val="00161989"/>
    <w:rsid w:val="001623BD"/>
    <w:rsid w:val="001628B0"/>
    <w:rsid w:val="00163D8C"/>
    <w:rsid w:val="0016639F"/>
    <w:rsid w:val="001667FB"/>
    <w:rsid w:val="00167D99"/>
    <w:rsid w:val="00167DDA"/>
    <w:rsid w:val="0017212A"/>
    <w:rsid w:val="00172312"/>
    <w:rsid w:val="001727A8"/>
    <w:rsid w:val="001729E7"/>
    <w:rsid w:val="001729F8"/>
    <w:rsid w:val="0017415B"/>
    <w:rsid w:val="00174328"/>
    <w:rsid w:val="00193260"/>
    <w:rsid w:val="00193FE4"/>
    <w:rsid w:val="0019406E"/>
    <w:rsid w:val="00195612"/>
    <w:rsid w:val="00196882"/>
    <w:rsid w:val="00197A9A"/>
    <w:rsid w:val="00197D75"/>
    <w:rsid w:val="001A2189"/>
    <w:rsid w:val="001B1C65"/>
    <w:rsid w:val="001B1C94"/>
    <w:rsid w:val="001B5303"/>
    <w:rsid w:val="001C118C"/>
    <w:rsid w:val="001C2BBC"/>
    <w:rsid w:val="001C3F65"/>
    <w:rsid w:val="001C7070"/>
    <w:rsid w:val="001D05E5"/>
    <w:rsid w:val="001D1359"/>
    <w:rsid w:val="001D1B8E"/>
    <w:rsid w:val="001D486C"/>
    <w:rsid w:val="001D6BFF"/>
    <w:rsid w:val="001E2491"/>
    <w:rsid w:val="001E6F4D"/>
    <w:rsid w:val="001F08BC"/>
    <w:rsid w:val="001F16DE"/>
    <w:rsid w:val="001F3100"/>
    <w:rsid w:val="001F3E01"/>
    <w:rsid w:val="001F4D61"/>
    <w:rsid w:val="001F675C"/>
    <w:rsid w:val="001F7FB7"/>
    <w:rsid w:val="00201E34"/>
    <w:rsid w:val="002026A3"/>
    <w:rsid w:val="00204F92"/>
    <w:rsid w:val="0020541A"/>
    <w:rsid w:val="00210587"/>
    <w:rsid w:val="00212073"/>
    <w:rsid w:val="00212A95"/>
    <w:rsid w:val="00215C8E"/>
    <w:rsid w:val="00216A71"/>
    <w:rsid w:val="00220616"/>
    <w:rsid w:val="00224A60"/>
    <w:rsid w:val="00227B11"/>
    <w:rsid w:val="0023158E"/>
    <w:rsid w:val="0023221A"/>
    <w:rsid w:val="002322C9"/>
    <w:rsid w:val="00232E25"/>
    <w:rsid w:val="00236EDA"/>
    <w:rsid w:val="00236FCA"/>
    <w:rsid w:val="00237B0E"/>
    <w:rsid w:val="002427E2"/>
    <w:rsid w:val="00242CF3"/>
    <w:rsid w:val="002454E9"/>
    <w:rsid w:val="0024578E"/>
    <w:rsid w:val="00247440"/>
    <w:rsid w:val="00250216"/>
    <w:rsid w:val="00253E68"/>
    <w:rsid w:val="00254BD9"/>
    <w:rsid w:val="00256FB5"/>
    <w:rsid w:val="00257379"/>
    <w:rsid w:val="00257C80"/>
    <w:rsid w:val="0026136E"/>
    <w:rsid w:val="002639FC"/>
    <w:rsid w:val="002642FD"/>
    <w:rsid w:val="00266571"/>
    <w:rsid w:val="0027354B"/>
    <w:rsid w:val="00276838"/>
    <w:rsid w:val="00277504"/>
    <w:rsid w:val="0027754D"/>
    <w:rsid w:val="00277E36"/>
    <w:rsid w:val="00283110"/>
    <w:rsid w:val="00286F64"/>
    <w:rsid w:val="00287E7B"/>
    <w:rsid w:val="00291C10"/>
    <w:rsid w:val="00292828"/>
    <w:rsid w:val="00297408"/>
    <w:rsid w:val="002A05F0"/>
    <w:rsid w:val="002A1029"/>
    <w:rsid w:val="002A10C3"/>
    <w:rsid w:val="002A1447"/>
    <w:rsid w:val="002A283C"/>
    <w:rsid w:val="002A4B02"/>
    <w:rsid w:val="002B2010"/>
    <w:rsid w:val="002B2ECC"/>
    <w:rsid w:val="002B3294"/>
    <w:rsid w:val="002B3DBD"/>
    <w:rsid w:val="002B5A86"/>
    <w:rsid w:val="002B7C13"/>
    <w:rsid w:val="002C019A"/>
    <w:rsid w:val="002C1353"/>
    <w:rsid w:val="002C566F"/>
    <w:rsid w:val="002C5DA2"/>
    <w:rsid w:val="002C6C7E"/>
    <w:rsid w:val="002D09DC"/>
    <w:rsid w:val="002D1BED"/>
    <w:rsid w:val="002D1D0F"/>
    <w:rsid w:val="002D2F87"/>
    <w:rsid w:val="002D3FE7"/>
    <w:rsid w:val="002D4BC0"/>
    <w:rsid w:val="002D5612"/>
    <w:rsid w:val="002D5DFC"/>
    <w:rsid w:val="002E218F"/>
    <w:rsid w:val="002E21BF"/>
    <w:rsid w:val="002E3D1C"/>
    <w:rsid w:val="002E4490"/>
    <w:rsid w:val="002E640B"/>
    <w:rsid w:val="002E7284"/>
    <w:rsid w:val="002F00E3"/>
    <w:rsid w:val="002F07E2"/>
    <w:rsid w:val="002F40F7"/>
    <w:rsid w:val="002F58BA"/>
    <w:rsid w:val="002F6667"/>
    <w:rsid w:val="00301A66"/>
    <w:rsid w:val="00301CFC"/>
    <w:rsid w:val="00302E76"/>
    <w:rsid w:val="00304699"/>
    <w:rsid w:val="0030620F"/>
    <w:rsid w:val="0030696F"/>
    <w:rsid w:val="003103DF"/>
    <w:rsid w:val="00314A68"/>
    <w:rsid w:val="00314E3D"/>
    <w:rsid w:val="00316D2D"/>
    <w:rsid w:val="00317BD5"/>
    <w:rsid w:val="00321234"/>
    <w:rsid w:val="00321517"/>
    <w:rsid w:val="00321579"/>
    <w:rsid w:val="00321EF4"/>
    <w:rsid w:val="00323270"/>
    <w:rsid w:val="00323619"/>
    <w:rsid w:val="003249C6"/>
    <w:rsid w:val="00330BDE"/>
    <w:rsid w:val="00333ACE"/>
    <w:rsid w:val="003365EA"/>
    <w:rsid w:val="003448DD"/>
    <w:rsid w:val="00345130"/>
    <w:rsid w:val="00347184"/>
    <w:rsid w:val="003507F4"/>
    <w:rsid w:val="003517BD"/>
    <w:rsid w:val="00351A93"/>
    <w:rsid w:val="0035211E"/>
    <w:rsid w:val="0035532D"/>
    <w:rsid w:val="00356303"/>
    <w:rsid w:val="00370241"/>
    <w:rsid w:val="00370A0B"/>
    <w:rsid w:val="00372A1E"/>
    <w:rsid w:val="00373B8E"/>
    <w:rsid w:val="003764C1"/>
    <w:rsid w:val="0038267C"/>
    <w:rsid w:val="00382B4F"/>
    <w:rsid w:val="00382D85"/>
    <w:rsid w:val="0038331E"/>
    <w:rsid w:val="00384F3D"/>
    <w:rsid w:val="0038657B"/>
    <w:rsid w:val="00387175"/>
    <w:rsid w:val="00387564"/>
    <w:rsid w:val="003A2D67"/>
    <w:rsid w:val="003A6F00"/>
    <w:rsid w:val="003B098A"/>
    <w:rsid w:val="003B1CA5"/>
    <w:rsid w:val="003B23D1"/>
    <w:rsid w:val="003B4668"/>
    <w:rsid w:val="003C1209"/>
    <w:rsid w:val="003C1999"/>
    <w:rsid w:val="003C5735"/>
    <w:rsid w:val="003D096E"/>
    <w:rsid w:val="003D759E"/>
    <w:rsid w:val="003E0083"/>
    <w:rsid w:val="003E0146"/>
    <w:rsid w:val="003E1388"/>
    <w:rsid w:val="003E19CA"/>
    <w:rsid w:val="003E296B"/>
    <w:rsid w:val="003F144E"/>
    <w:rsid w:val="003F4994"/>
    <w:rsid w:val="003F6294"/>
    <w:rsid w:val="00400E9D"/>
    <w:rsid w:val="00401E15"/>
    <w:rsid w:val="00404F83"/>
    <w:rsid w:val="004066DF"/>
    <w:rsid w:val="004069BE"/>
    <w:rsid w:val="004076FB"/>
    <w:rsid w:val="0041164F"/>
    <w:rsid w:val="00413163"/>
    <w:rsid w:val="0041736E"/>
    <w:rsid w:val="00421350"/>
    <w:rsid w:val="004247C6"/>
    <w:rsid w:val="00425A31"/>
    <w:rsid w:val="00430A02"/>
    <w:rsid w:val="004325A7"/>
    <w:rsid w:val="004329BB"/>
    <w:rsid w:val="00433299"/>
    <w:rsid w:val="00433992"/>
    <w:rsid w:val="00434096"/>
    <w:rsid w:val="0044244D"/>
    <w:rsid w:val="004437D3"/>
    <w:rsid w:val="00445843"/>
    <w:rsid w:val="00445C6E"/>
    <w:rsid w:val="0044723C"/>
    <w:rsid w:val="00447457"/>
    <w:rsid w:val="004509EB"/>
    <w:rsid w:val="004612C1"/>
    <w:rsid w:val="00462983"/>
    <w:rsid w:val="004637A8"/>
    <w:rsid w:val="004647DC"/>
    <w:rsid w:val="004647F7"/>
    <w:rsid w:val="0046649C"/>
    <w:rsid w:val="00476B05"/>
    <w:rsid w:val="0048177D"/>
    <w:rsid w:val="00481CAD"/>
    <w:rsid w:val="00482885"/>
    <w:rsid w:val="0048435D"/>
    <w:rsid w:val="0048651F"/>
    <w:rsid w:val="00487C66"/>
    <w:rsid w:val="00490651"/>
    <w:rsid w:val="004A4F2C"/>
    <w:rsid w:val="004B01BA"/>
    <w:rsid w:val="004B0C49"/>
    <w:rsid w:val="004B26C8"/>
    <w:rsid w:val="004B2D89"/>
    <w:rsid w:val="004B2DD7"/>
    <w:rsid w:val="004B4777"/>
    <w:rsid w:val="004B5112"/>
    <w:rsid w:val="004B6952"/>
    <w:rsid w:val="004C1AC0"/>
    <w:rsid w:val="004C3B1D"/>
    <w:rsid w:val="004C7D6F"/>
    <w:rsid w:val="004D3BBD"/>
    <w:rsid w:val="004D4A90"/>
    <w:rsid w:val="004E20DB"/>
    <w:rsid w:val="004E23D7"/>
    <w:rsid w:val="004E3D63"/>
    <w:rsid w:val="004F1C21"/>
    <w:rsid w:val="004F4FAD"/>
    <w:rsid w:val="004F6161"/>
    <w:rsid w:val="004F6D05"/>
    <w:rsid w:val="005001EA"/>
    <w:rsid w:val="00502949"/>
    <w:rsid w:val="005069F2"/>
    <w:rsid w:val="00507A86"/>
    <w:rsid w:val="00507AAF"/>
    <w:rsid w:val="005121CB"/>
    <w:rsid w:val="005133A8"/>
    <w:rsid w:val="005313DF"/>
    <w:rsid w:val="0053245C"/>
    <w:rsid w:val="0053386B"/>
    <w:rsid w:val="00540EC8"/>
    <w:rsid w:val="005410A1"/>
    <w:rsid w:val="005416A6"/>
    <w:rsid w:val="00544FAF"/>
    <w:rsid w:val="00546F76"/>
    <w:rsid w:val="00550B19"/>
    <w:rsid w:val="0055413E"/>
    <w:rsid w:val="00555B83"/>
    <w:rsid w:val="00556DA6"/>
    <w:rsid w:val="00562F52"/>
    <w:rsid w:val="00566205"/>
    <w:rsid w:val="0056710E"/>
    <w:rsid w:val="0056756F"/>
    <w:rsid w:val="0057534F"/>
    <w:rsid w:val="0057600B"/>
    <w:rsid w:val="005806A9"/>
    <w:rsid w:val="005809CB"/>
    <w:rsid w:val="00581EEA"/>
    <w:rsid w:val="005820DC"/>
    <w:rsid w:val="00586E78"/>
    <w:rsid w:val="00590973"/>
    <w:rsid w:val="00590B18"/>
    <w:rsid w:val="005933FB"/>
    <w:rsid w:val="005934F6"/>
    <w:rsid w:val="00597AD3"/>
    <w:rsid w:val="005A2F65"/>
    <w:rsid w:val="005A4BC5"/>
    <w:rsid w:val="005A60F3"/>
    <w:rsid w:val="005A649B"/>
    <w:rsid w:val="005B1CA7"/>
    <w:rsid w:val="005B2FD0"/>
    <w:rsid w:val="005B3667"/>
    <w:rsid w:val="005B3ED7"/>
    <w:rsid w:val="005C1865"/>
    <w:rsid w:val="005C2EBB"/>
    <w:rsid w:val="005C6ACC"/>
    <w:rsid w:val="005D0DD0"/>
    <w:rsid w:val="005D1DEF"/>
    <w:rsid w:val="005D3C48"/>
    <w:rsid w:val="005D4AF9"/>
    <w:rsid w:val="005D5A2B"/>
    <w:rsid w:val="005E2AE8"/>
    <w:rsid w:val="005E49FD"/>
    <w:rsid w:val="005E65EF"/>
    <w:rsid w:val="005F128B"/>
    <w:rsid w:val="005F1F63"/>
    <w:rsid w:val="005F2127"/>
    <w:rsid w:val="005F35AB"/>
    <w:rsid w:val="005F5DA2"/>
    <w:rsid w:val="005F6B4A"/>
    <w:rsid w:val="00601BC4"/>
    <w:rsid w:val="00601F70"/>
    <w:rsid w:val="00603A37"/>
    <w:rsid w:val="006051C5"/>
    <w:rsid w:val="00605457"/>
    <w:rsid w:val="00607FA5"/>
    <w:rsid w:val="0061201F"/>
    <w:rsid w:val="00612D5C"/>
    <w:rsid w:val="00626BB3"/>
    <w:rsid w:val="0062793B"/>
    <w:rsid w:val="0063139D"/>
    <w:rsid w:val="00632620"/>
    <w:rsid w:val="00632DB6"/>
    <w:rsid w:val="00634041"/>
    <w:rsid w:val="00634C55"/>
    <w:rsid w:val="00634DD7"/>
    <w:rsid w:val="00635EF2"/>
    <w:rsid w:val="006402A2"/>
    <w:rsid w:val="00645279"/>
    <w:rsid w:val="00647AB1"/>
    <w:rsid w:val="00651E1A"/>
    <w:rsid w:val="006520EA"/>
    <w:rsid w:val="006528B0"/>
    <w:rsid w:val="00654A59"/>
    <w:rsid w:val="00656B64"/>
    <w:rsid w:val="00657C1B"/>
    <w:rsid w:val="00662166"/>
    <w:rsid w:val="00663431"/>
    <w:rsid w:val="00665EC7"/>
    <w:rsid w:val="006673BC"/>
    <w:rsid w:val="006715AB"/>
    <w:rsid w:val="00672C1F"/>
    <w:rsid w:val="00673375"/>
    <w:rsid w:val="006753A2"/>
    <w:rsid w:val="00675B5F"/>
    <w:rsid w:val="00680320"/>
    <w:rsid w:val="00683BAA"/>
    <w:rsid w:val="00686E1B"/>
    <w:rsid w:val="0068740D"/>
    <w:rsid w:val="00692D36"/>
    <w:rsid w:val="0069551D"/>
    <w:rsid w:val="006A44EA"/>
    <w:rsid w:val="006A6EA9"/>
    <w:rsid w:val="006B0703"/>
    <w:rsid w:val="006B1272"/>
    <w:rsid w:val="006B1502"/>
    <w:rsid w:val="006B682F"/>
    <w:rsid w:val="006C1BC8"/>
    <w:rsid w:val="006C2665"/>
    <w:rsid w:val="006C2A16"/>
    <w:rsid w:val="006C5449"/>
    <w:rsid w:val="006C6C2E"/>
    <w:rsid w:val="006C6C6A"/>
    <w:rsid w:val="006D00AA"/>
    <w:rsid w:val="006D0448"/>
    <w:rsid w:val="006D063F"/>
    <w:rsid w:val="006D0D90"/>
    <w:rsid w:val="006D3AE0"/>
    <w:rsid w:val="006D702B"/>
    <w:rsid w:val="006D7261"/>
    <w:rsid w:val="006E00F7"/>
    <w:rsid w:val="006E1199"/>
    <w:rsid w:val="006F2D31"/>
    <w:rsid w:val="006F4964"/>
    <w:rsid w:val="006F72FA"/>
    <w:rsid w:val="007069E8"/>
    <w:rsid w:val="007103F9"/>
    <w:rsid w:val="00723C5E"/>
    <w:rsid w:val="00724B3B"/>
    <w:rsid w:val="0072552A"/>
    <w:rsid w:val="0072602F"/>
    <w:rsid w:val="00727F5B"/>
    <w:rsid w:val="00731285"/>
    <w:rsid w:val="00735A89"/>
    <w:rsid w:val="007361A9"/>
    <w:rsid w:val="007413F2"/>
    <w:rsid w:val="00743496"/>
    <w:rsid w:val="00745B31"/>
    <w:rsid w:val="0075260D"/>
    <w:rsid w:val="007546EB"/>
    <w:rsid w:val="00754D3C"/>
    <w:rsid w:val="00762BF9"/>
    <w:rsid w:val="00764DFE"/>
    <w:rsid w:val="00771CB4"/>
    <w:rsid w:val="0077297B"/>
    <w:rsid w:val="00773747"/>
    <w:rsid w:val="00775110"/>
    <w:rsid w:val="00775A21"/>
    <w:rsid w:val="00782FFF"/>
    <w:rsid w:val="00783683"/>
    <w:rsid w:val="00785AF8"/>
    <w:rsid w:val="00790190"/>
    <w:rsid w:val="007903D7"/>
    <w:rsid w:val="00791BD6"/>
    <w:rsid w:val="00796687"/>
    <w:rsid w:val="007A1760"/>
    <w:rsid w:val="007A1B5C"/>
    <w:rsid w:val="007A4FA2"/>
    <w:rsid w:val="007A5EE0"/>
    <w:rsid w:val="007C2381"/>
    <w:rsid w:val="007C5EEA"/>
    <w:rsid w:val="007C702F"/>
    <w:rsid w:val="007C743E"/>
    <w:rsid w:val="007D32E5"/>
    <w:rsid w:val="007D4D66"/>
    <w:rsid w:val="007D5D00"/>
    <w:rsid w:val="007D6ED4"/>
    <w:rsid w:val="007E10E1"/>
    <w:rsid w:val="007E2333"/>
    <w:rsid w:val="007F0FEB"/>
    <w:rsid w:val="007F2966"/>
    <w:rsid w:val="007F35B1"/>
    <w:rsid w:val="007F3B38"/>
    <w:rsid w:val="007F4529"/>
    <w:rsid w:val="007F5B74"/>
    <w:rsid w:val="008012BE"/>
    <w:rsid w:val="008034B5"/>
    <w:rsid w:val="00806C92"/>
    <w:rsid w:val="00812006"/>
    <w:rsid w:val="00813B8A"/>
    <w:rsid w:val="0081660D"/>
    <w:rsid w:val="00816EAE"/>
    <w:rsid w:val="00820A95"/>
    <w:rsid w:val="00820EF3"/>
    <w:rsid w:val="00821D12"/>
    <w:rsid w:val="008232F8"/>
    <w:rsid w:val="00831A66"/>
    <w:rsid w:val="0083447E"/>
    <w:rsid w:val="00835635"/>
    <w:rsid w:val="00835A6C"/>
    <w:rsid w:val="00841D65"/>
    <w:rsid w:val="00841EC7"/>
    <w:rsid w:val="008433DF"/>
    <w:rsid w:val="00843F72"/>
    <w:rsid w:val="0084444F"/>
    <w:rsid w:val="00851BAA"/>
    <w:rsid w:val="00852DA1"/>
    <w:rsid w:val="00852DF9"/>
    <w:rsid w:val="00852FC7"/>
    <w:rsid w:val="00854A75"/>
    <w:rsid w:val="008563DC"/>
    <w:rsid w:val="00860D1B"/>
    <w:rsid w:val="00875DDF"/>
    <w:rsid w:val="00877ED6"/>
    <w:rsid w:val="00880892"/>
    <w:rsid w:val="00885F10"/>
    <w:rsid w:val="008876C0"/>
    <w:rsid w:val="0089088F"/>
    <w:rsid w:val="00891FB1"/>
    <w:rsid w:val="008922D6"/>
    <w:rsid w:val="00893A9B"/>
    <w:rsid w:val="00893DC8"/>
    <w:rsid w:val="00894D13"/>
    <w:rsid w:val="008966B1"/>
    <w:rsid w:val="008A1137"/>
    <w:rsid w:val="008A5053"/>
    <w:rsid w:val="008B1A3F"/>
    <w:rsid w:val="008B4F17"/>
    <w:rsid w:val="008B503A"/>
    <w:rsid w:val="008B6B9B"/>
    <w:rsid w:val="008C1E9E"/>
    <w:rsid w:val="008C1FA4"/>
    <w:rsid w:val="008C2B6E"/>
    <w:rsid w:val="008C633D"/>
    <w:rsid w:val="008D0FA9"/>
    <w:rsid w:val="008D1547"/>
    <w:rsid w:val="008D1ED9"/>
    <w:rsid w:val="008D406D"/>
    <w:rsid w:val="008D7F97"/>
    <w:rsid w:val="008E0D7E"/>
    <w:rsid w:val="008E214C"/>
    <w:rsid w:val="008E2B45"/>
    <w:rsid w:val="008E5C56"/>
    <w:rsid w:val="008E6E80"/>
    <w:rsid w:val="008F01CD"/>
    <w:rsid w:val="008F02A3"/>
    <w:rsid w:val="008F36FF"/>
    <w:rsid w:val="008F46A3"/>
    <w:rsid w:val="008F5C65"/>
    <w:rsid w:val="008F71E3"/>
    <w:rsid w:val="00900038"/>
    <w:rsid w:val="009001F8"/>
    <w:rsid w:val="00901F47"/>
    <w:rsid w:val="00903872"/>
    <w:rsid w:val="00903C67"/>
    <w:rsid w:val="00903EB0"/>
    <w:rsid w:val="009058D4"/>
    <w:rsid w:val="00910677"/>
    <w:rsid w:val="009122F5"/>
    <w:rsid w:val="00912B8F"/>
    <w:rsid w:val="00922828"/>
    <w:rsid w:val="0092316A"/>
    <w:rsid w:val="00925F7D"/>
    <w:rsid w:val="00931FB3"/>
    <w:rsid w:val="00934B2C"/>
    <w:rsid w:val="00937DB7"/>
    <w:rsid w:val="009416F2"/>
    <w:rsid w:val="00945B5A"/>
    <w:rsid w:val="00946E0A"/>
    <w:rsid w:val="0095026E"/>
    <w:rsid w:val="00951773"/>
    <w:rsid w:val="0095455D"/>
    <w:rsid w:val="0095455E"/>
    <w:rsid w:val="00955118"/>
    <w:rsid w:val="00957F44"/>
    <w:rsid w:val="0096172C"/>
    <w:rsid w:val="009617A9"/>
    <w:rsid w:val="0096321D"/>
    <w:rsid w:val="009645BF"/>
    <w:rsid w:val="009653F7"/>
    <w:rsid w:val="009661AF"/>
    <w:rsid w:val="009673C3"/>
    <w:rsid w:val="00970C7A"/>
    <w:rsid w:val="00974D64"/>
    <w:rsid w:val="00974F77"/>
    <w:rsid w:val="0097571A"/>
    <w:rsid w:val="009757B6"/>
    <w:rsid w:val="009766C8"/>
    <w:rsid w:val="009769CC"/>
    <w:rsid w:val="00980107"/>
    <w:rsid w:val="0098064D"/>
    <w:rsid w:val="009820D1"/>
    <w:rsid w:val="00982FEE"/>
    <w:rsid w:val="0098302C"/>
    <w:rsid w:val="009879EA"/>
    <w:rsid w:val="009907AC"/>
    <w:rsid w:val="00994033"/>
    <w:rsid w:val="00996642"/>
    <w:rsid w:val="009A0196"/>
    <w:rsid w:val="009A0A26"/>
    <w:rsid w:val="009A17A2"/>
    <w:rsid w:val="009A26FF"/>
    <w:rsid w:val="009A4C59"/>
    <w:rsid w:val="009A5BB3"/>
    <w:rsid w:val="009A7506"/>
    <w:rsid w:val="009B218A"/>
    <w:rsid w:val="009B21EC"/>
    <w:rsid w:val="009C0114"/>
    <w:rsid w:val="009C1F12"/>
    <w:rsid w:val="009C24D3"/>
    <w:rsid w:val="009C24E9"/>
    <w:rsid w:val="009C4BE3"/>
    <w:rsid w:val="009C4D74"/>
    <w:rsid w:val="009C4E54"/>
    <w:rsid w:val="009C5EE2"/>
    <w:rsid w:val="009C6EC5"/>
    <w:rsid w:val="009C7290"/>
    <w:rsid w:val="009C72B0"/>
    <w:rsid w:val="009D5165"/>
    <w:rsid w:val="009D7ED6"/>
    <w:rsid w:val="009E1332"/>
    <w:rsid w:val="009E2BD5"/>
    <w:rsid w:val="009E7026"/>
    <w:rsid w:val="009F182A"/>
    <w:rsid w:val="009F1C0D"/>
    <w:rsid w:val="00A0093E"/>
    <w:rsid w:val="00A038B1"/>
    <w:rsid w:val="00A05018"/>
    <w:rsid w:val="00A07516"/>
    <w:rsid w:val="00A1104C"/>
    <w:rsid w:val="00A1317B"/>
    <w:rsid w:val="00A145D5"/>
    <w:rsid w:val="00A23817"/>
    <w:rsid w:val="00A25968"/>
    <w:rsid w:val="00A26758"/>
    <w:rsid w:val="00A26943"/>
    <w:rsid w:val="00A3298D"/>
    <w:rsid w:val="00A338D6"/>
    <w:rsid w:val="00A351F9"/>
    <w:rsid w:val="00A36C72"/>
    <w:rsid w:val="00A40731"/>
    <w:rsid w:val="00A40AD1"/>
    <w:rsid w:val="00A411C3"/>
    <w:rsid w:val="00A43A71"/>
    <w:rsid w:val="00A459AF"/>
    <w:rsid w:val="00A5082E"/>
    <w:rsid w:val="00A50953"/>
    <w:rsid w:val="00A51F48"/>
    <w:rsid w:val="00A622EC"/>
    <w:rsid w:val="00A654A8"/>
    <w:rsid w:val="00A67BE1"/>
    <w:rsid w:val="00A77C55"/>
    <w:rsid w:val="00A82DB0"/>
    <w:rsid w:val="00A92B3D"/>
    <w:rsid w:val="00A94E4D"/>
    <w:rsid w:val="00A95624"/>
    <w:rsid w:val="00AA08B3"/>
    <w:rsid w:val="00AA2688"/>
    <w:rsid w:val="00AA347E"/>
    <w:rsid w:val="00AA4DF9"/>
    <w:rsid w:val="00AA5C9C"/>
    <w:rsid w:val="00AA61F6"/>
    <w:rsid w:val="00AA7D50"/>
    <w:rsid w:val="00AB067E"/>
    <w:rsid w:val="00AB3E5A"/>
    <w:rsid w:val="00AB4589"/>
    <w:rsid w:val="00AB489D"/>
    <w:rsid w:val="00AC11AD"/>
    <w:rsid w:val="00AC26D4"/>
    <w:rsid w:val="00AC28A9"/>
    <w:rsid w:val="00AC37F4"/>
    <w:rsid w:val="00AC3823"/>
    <w:rsid w:val="00AC596B"/>
    <w:rsid w:val="00AC5A43"/>
    <w:rsid w:val="00AD1766"/>
    <w:rsid w:val="00AD4DB9"/>
    <w:rsid w:val="00AD640F"/>
    <w:rsid w:val="00AD72C1"/>
    <w:rsid w:val="00AE01A6"/>
    <w:rsid w:val="00AE0FE1"/>
    <w:rsid w:val="00AE15DE"/>
    <w:rsid w:val="00AE356A"/>
    <w:rsid w:val="00AE4119"/>
    <w:rsid w:val="00AE4F6D"/>
    <w:rsid w:val="00AE60A8"/>
    <w:rsid w:val="00AE7197"/>
    <w:rsid w:val="00AF0AD8"/>
    <w:rsid w:val="00AF3BCE"/>
    <w:rsid w:val="00B00F48"/>
    <w:rsid w:val="00B01038"/>
    <w:rsid w:val="00B016AD"/>
    <w:rsid w:val="00B02196"/>
    <w:rsid w:val="00B04103"/>
    <w:rsid w:val="00B07C5C"/>
    <w:rsid w:val="00B07F81"/>
    <w:rsid w:val="00B10893"/>
    <w:rsid w:val="00B10C9F"/>
    <w:rsid w:val="00B11200"/>
    <w:rsid w:val="00B1134C"/>
    <w:rsid w:val="00B1510A"/>
    <w:rsid w:val="00B17355"/>
    <w:rsid w:val="00B213EF"/>
    <w:rsid w:val="00B22479"/>
    <w:rsid w:val="00B23CBB"/>
    <w:rsid w:val="00B25DD2"/>
    <w:rsid w:val="00B27073"/>
    <w:rsid w:val="00B27434"/>
    <w:rsid w:val="00B32544"/>
    <w:rsid w:val="00B34FD0"/>
    <w:rsid w:val="00B35D28"/>
    <w:rsid w:val="00B35F5B"/>
    <w:rsid w:val="00B37D07"/>
    <w:rsid w:val="00B41F21"/>
    <w:rsid w:val="00B43096"/>
    <w:rsid w:val="00B46C49"/>
    <w:rsid w:val="00B475E2"/>
    <w:rsid w:val="00B506DD"/>
    <w:rsid w:val="00B51730"/>
    <w:rsid w:val="00B521DB"/>
    <w:rsid w:val="00B52B19"/>
    <w:rsid w:val="00B5750F"/>
    <w:rsid w:val="00B57D19"/>
    <w:rsid w:val="00B60632"/>
    <w:rsid w:val="00B6419D"/>
    <w:rsid w:val="00B6463A"/>
    <w:rsid w:val="00B64D0E"/>
    <w:rsid w:val="00B70A9E"/>
    <w:rsid w:val="00B7396B"/>
    <w:rsid w:val="00B757F8"/>
    <w:rsid w:val="00B806C4"/>
    <w:rsid w:val="00B835D3"/>
    <w:rsid w:val="00B83E50"/>
    <w:rsid w:val="00B84CBD"/>
    <w:rsid w:val="00B87391"/>
    <w:rsid w:val="00B91928"/>
    <w:rsid w:val="00B9788C"/>
    <w:rsid w:val="00BA7BF4"/>
    <w:rsid w:val="00BB1673"/>
    <w:rsid w:val="00BB1DC8"/>
    <w:rsid w:val="00BB27E9"/>
    <w:rsid w:val="00BB2FF6"/>
    <w:rsid w:val="00BB53FB"/>
    <w:rsid w:val="00BB62BC"/>
    <w:rsid w:val="00BB739E"/>
    <w:rsid w:val="00BC01B0"/>
    <w:rsid w:val="00BC0ADE"/>
    <w:rsid w:val="00BC1FCB"/>
    <w:rsid w:val="00BC395A"/>
    <w:rsid w:val="00BC557F"/>
    <w:rsid w:val="00BC5DA3"/>
    <w:rsid w:val="00BC7FE8"/>
    <w:rsid w:val="00BD1BB9"/>
    <w:rsid w:val="00BD20B0"/>
    <w:rsid w:val="00BD2BF9"/>
    <w:rsid w:val="00BE1862"/>
    <w:rsid w:val="00BE47D5"/>
    <w:rsid w:val="00BE56D0"/>
    <w:rsid w:val="00BF0287"/>
    <w:rsid w:val="00BF3892"/>
    <w:rsid w:val="00BF3E4B"/>
    <w:rsid w:val="00BF48F6"/>
    <w:rsid w:val="00BF7E20"/>
    <w:rsid w:val="00C02B03"/>
    <w:rsid w:val="00C033DE"/>
    <w:rsid w:val="00C03940"/>
    <w:rsid w:val="00C03BFC"/>
    <w:rsid w:val="00C050D3"/>
    <w:rsid w:val="00C05184"/>
    <w:rsid w:val="00C05AD6"/>
    <w:rsid w:val="00C05B13"/>
    <w:rsid w:val="00C0688B"/>
    <w:rsid w:val="00C07AE6"/>
    <w:rsid w:val="00C1025B"/>
    <w:rsid w:val="00C1117F"/>
    <w:rsid w:val="00C121B7"/>
    <w:rsid w:val="00C17958"/>
    <w:rsid w:val="00C17ABF"/>
    <w:rsid w:val="00C232B0"/>
    <w:rsid w:val="00C26D5A"/>
    <w:rsid w:val="00C34512"/>
    <w:rsid w:val="00C35CE4"/>
    <w:rsid w:val="00C35D18"/>
    <w:rsid w:val="00C36223"/>
    <w:rsid w:val="00C3644D"/>
    <w:rsid w:val="00C4152F"/>
    <w:rsid w:val="00C41FA7"/>
    <w:rsid w:val="00C4429C"/>
    <w:rsid w:val="00C44B24"/>
    <w:rsid w:val="00C46727"/>
    <w:rsid w:val="00C47AF1"/>
    <w:rsid w:val="00C531F5"/>
    <w:rsid w:val="00C56A6C"/>
    <w:rsid w:val="00C628D8"/>
    <w:rsid w:val="00C62F9C"/>
    <w:rsid w:val="00C64924"/>
    <w:rsid w:val="00C65827"/>
    <w:rsid w:val="00C72E04"/>
    <w:rsid w:val="00C742D4"/>
    <w:rsid w:val="00C75193"/>
    <w:rsid w:val="00C75BEC"/>
    <w:rsid w:val="00C76D19"/>
    <w:rsid w:val="00C81900"/>
    <w:rsid w:val="00C839CB"/>
    <w:rsid w:val="00C86A57"/>
    <w:rsid w:val="00C924C9"/>
    <w:rsid w:val="00C932C9"/>
    <w:rsid w:val="00CA0B3F"/>
    <w:rsid w:val="00CA0C62"/>
    <w:rsid w:val="00CA25C9"/>
    <w:rsid w:val="00CA5EC6"/>
    <w:rsid w:val="00CB05EE"/>
    <w:rsid w:val="00CB0DB2"/>
    <w:rsid w:val="00CB2FD7"/>
    <w:rsid w:val="00CB71AF"/>
    <w:rsid w:val="00CC4931"/>
    <w:rsid w:val="00CC5348"/>
    <w:rsid w:val="00CC6C19"/>
    <w:rsid w:val="00CD1E2C"/>
    <w:rsid w:val="00CD4762"/>
    <w:rsid w:val="00CD54FD"/>
    <w:rsid w:val="00CD5AE4"/>
    <w:rsid w:val="00CD6612"/>
    <w:rsid w:val="00CD7C03"/>
    <w:rsid w:val="00CE537A"/>
    <w:rsid w:val="00CF1693"/>
    <w:rsid w:val="00CF1F8B"/>
    <w:rsid w:val="00CF7F85"/>
    <w:rsid w:val="00D04337"/>
    <w:rsid w:val="00D105DA"/>
    <w:rsid w:val="00D11F04"/>
    <w:rsid w:val="00D15314"/>
    <w:rsid w:val="00D1768F"/>
    <w:rsid w:val="00D23D3F"/>
    <w:rsid w:val="00D24E96"/>
    <w:rsid w:val="00D25CB8"/>
    <w:rsid w:val="00D25FD6"/>
    <w:rsid w:val="00D30694"/>
    <w:rsid w:val="00D31856"/>
    <w:rsid w:val="00D32752"/>
    <w:rsid w:val="00D3612E"/>
    <w:rsid w:val="00D369E4"/>
    <w:rsid w:val="00D42144"/>
    <w:rsid w:val="00D435BA"/>
    <w:rsid w:val="00D43AB3"/>
    <w:rsid w:val="00D43E84"/>
    <w:rsid w:val="00D46F8B"/>
    <w:rsid w:val="00D476CA"/>
    <w:rsid w:val="00D5013D"/>
    <w:rsid w:val="00D50872"/>
    <w:rsid w:val="00D50BBD"/>
    <w:rsid w:val="00D5254A"/>
    <w:rsid w:val="00D52DEB"/>
    <w:rsid w:val="00D54DFC"/>
    <w:rsid w:val="00D54FB5"/>
    <w:rsid w:val="00D56CC0"/>
    <w:rsid w:val="00D636ED"/>
    <w:rsid w:val="00D6579A"/>
    <w:rsid w:val="00D67AED"/>
    <w:rsid w:val="00D70DF7"/>
    <w:rsid w:val="00D71B5F"/>
    <w:rsid w:val="00D74AC8"/>
    <w:rsid w:val="00D758B6"/>
    <w:rsid w:val="00D8319A"/>
    <w:rsid w:val="00D8549F"/>
    <w:rsid w:val="00D86325"/>
    <w:rsid w:val="00D86C5A"/>
    <w:rsid w:val="00D921A3"/>
    <w:rsid w:val="00D940E7"/>
    <w:rsid w:val="00D952BC"/>
    <w:rsid w:val="00DA0230"/>
    <w:rsid w:val="00DA1580"/>
    <w:rsid w:val="00DA2568"/>
    <w:rsid w:val="00DA3483"/>
    <w:rsid w:val="00DA4142"/>
    <w:rsid w:val="00DA4645"/>
    <w:rsid w:val="00DA4E14"/>
    <w:rsid w:val="00DA57E2"/>
    <w:rsid w:val="00DB2E39"/>
    <w:rsid w:val="00DB365E"/>
    <w:rsid w:val="00DB3F1B"/>
    <w:rsid w:val="00DC24F8"/>
    <w:rsid w:val="00DC3BF2"/>
    <w:rsid w:val="00DC4028"/>
    <w:rsid w:val="00DC4AA7"/>
    <w:rsid w:val="00DC54BA"/>
    <w:rsid w:val="00DC5A51"/>
    <w:rsid w:val="00DD1CB3"/>
    <w:rsid w:val="00DD3759"/>
    <w:rsid w:val="00DD6C0B"/>
    <w:rsid w:val="00DE177A"/>
    <w:rsid w:val="00DE2BC6"/>
    <w:rsid w:val="00DE40A1"/>
    <w:rsid w:val="00DE728B"/>
    <w:rsid w:val="00DF6E26"/>
    <w:rsid w:val="00DF6E40"/>
    <w:rsid w:val="00E00151"/>
    <w:rsid w:val="00E00F2F"/>
    <w:rsid w:val="00E0146D"/>
    <w:rsid w:val="00E02E13"/>
    <w:rsid w:val="00E03A1A"/>
    <w:rsid w:val="00E063FD"/>
    <w:rsid w:val="00E073F6"/>
    <w:rsid w:val="00E14992"/>
    <w:rsid w:val="00E15A17"/>
    <w:rsid w:val="00E20F6A"/>
    <w:rsid w:val="00E22A56"/>
    <w:rsid w:val="00E25775"/>
    <w:rsid w:val="00E26DE8"/>
    <w:rsid w:val="00E27BC8"/>
    <w:rsid w:val="00E3459D"/>
    <w:rsid w:val="00E3662C"/>
    <w:rsid w:val="00E40D94"/>
    <w:rsid w:val="00E40F46"/>
    <w:rsid w:val="00E41E9A"/>
    <w:rsid w:val="00E42340"/>
    <w:rsid w:val="00E54181"/>
    <w:rsid w:val="00E5532B"/>
    <w:rsid w:val="00E62B8A"/>
    <w:rsid w:val="00E63A06"/>
    <w:rsid w:val="00E6429C"/>
    <w:rsid w:val="00E64EFE"/>
    <w:rsid w:val="00E65C96"/>
    <w:rsid w:val="00E66910"/>
    <w:rsid w:val="00E6762C"/>
    <w:rsid w:val="00E71836"/>
    <w:rsid w:val="00E753F7"/>
    <w:rsid w:val="00E758FA"/>
    <w:rsid w:val="00E75BFC"/>
    <w:rsid w:val="00E76989"/>
    <w:rsid w:val="00E82383"/>
    <w:rsid w:val="00E8439C"/>
    <w:rsid w:val="00E858C5"/>
    <w:rsid w:val="00E86AC5"/>
    <w:rsid w:val="00E86E0A"/>
    <w:rsid w:val="00E918CC"/>
    <w:rsid w:val="00E93BCE"/>
    <w:rsid w:val="00E94255"/>
    <w:rsid w:val="00E94757"/>
    <w:rsid w:val="00E9531F"/>
    <w:rsid w:val="00EA07C4"/>
    <w:rsid w:val="00EA59C4"/>
    <w:rsid w:val="00EA7E0F"/>
    <w:rsid w:val="00EB0F4D"/>
    <w:rsid w:val="00EB211F"/>
    <w:rsid w:val="00EB43F0"/>
    <w:rsid w:val="00EB57EA"/>
    <w:rsid w:val="00EB6912"/>
    <w:rsid w:val="00EC069D"/>
    <w:rsid w:val="00EC0E1B"/>
    <w:rsid w:val="00EC11F6"/>
    <w:rsid w:val="00EC31A7"/>
    <w:rsid w:val="00EC32C0"/>
    <w:rsid w:val="00EC3B78"/>
    <w:rsid w:val="00EC3F02"/>
    <w:rsid w:val="00ED04FA"/>
    <w:rsid w:val="00ED232B"/>
    <w:rsid w:val="00ED275C"/>
    <w:rsid w:val="00ED3065"/>
    <w:rsid w:val="00ED4BD6"/>
    <w:rsid w:val="00ED4D84"/>
    <w:rsid w:val="00ED7F86"/>
    <w:rsid w:val="00EE3D56"/>
    <w:rsid w:val="00EF1DA6"/>
    <w:rsid w:val="00EF450F"/>
    <w:rsid w:val="00EF6BF3"/>
    <w:rsid w:val="00EF6D89"/>
    <w:rsid w:val="00F016B6"/>
    <w:rsid w:val="00F01C56"/>
    <w:rsid w:val="00F03994"/>
    <w:rsid w:val="00F03BB3"/>
    <w:rsid w:val="00F054D2"/>
    <w:rsid w:val="00F0662C"/>
    <w:rsid w:val="00F07BB0"/>
    <w:rsid w:val="00F11C8E"/>
    <w:rsid w:val="00F15326"/>
    <w:rsid w:val="00F17A4B"/>
    <w:rsid w:val="00F2594A"/>
    <w:rsid w:val="00F2633D"/>
    <w:rsid w:val="00F27F2C"/>
    <w:rsid w:val="00F31B0F"/>
    <w:rsid w:val="00F32418"/>
    <w:rsid w:val="00F34F4F"/>
    <w:rsid w:val="00F36A6F"/>
    <w:rsid w:val="00F36F75"/>
    <w:rsid w:val="00F400C4"/>
    <w:rsid w:val="00F4053E"/>
    <w:rsid w:val="00F40737"/>
    <w:rsid w:val="00F417D1"/>
    <w:rsid w:val="00F428D0"/>
    <w:rsid w:val="00F55E68"/>
    <w:rsid w:val="00F60192"/>
    <w:rsid w:val="00F609FA"/>
    <w:rsid w:val="00F611D5"/>
    <w:rsid w:val="00F6400B"/>
    <w:rsid w:val="00F64897"/>
    <w:rsid w:val="00F651BC"/>
    <w:rsid w:val="00F7297B"/>
    <w:rsid w:val="00F74694"/>
    <w:rsid w:val="00F75896"/>
    <w:rsid w:val="00F77470"/>
    <w:rsid w:val="00F82B4C"/>
    <w:rsid w:val="00F85557"/>
    <w:rsid w:val="00F8732D"/>
    <w:rsid w:val="00F87B25"/>
    <w:rsid w:val="00F905C3"/>
    <w:rsid w:val="00F92987"/>
    <w:rsid w:val="00F9386E"/>
    <w:rsid w:val="00F94123"/>
    <w:rsid w:val="00F9583D"/>
    <w:rsid w:val="00FA0236"/>
    <w:rsid w:val="00FA5A57"/>
    <w:rsid w:val="00FA7359"/>
    <w:rsid w:val="00FB2B1C"/>
    <w:rsid w:val="00FB2E81"/>
    <w:rsid w:val="00FC2CCC"/>
    <w:rsid w:val="00FC3339"/>
    <w:rsid w:val="00FC3B43"/>
    <w:rsid w:val="00FC4E6A"/>
    <w:rsid w:val="00FC4F86"/>
    <w:rsid w:val="00FC5612"/>
    <w:rsid w:val="00FD7A7E"/>
    <w:rsid w:val="00FD7F54"/>
    <w:rsid w:val="00FE0502"/>
    <w:rsid w:val="00FE1BD7"/>
    <w:rsid w:val="00FE1CA8"/>
    <w:rsid w:val="00FE20EC"/>
    <w:rsid w:val="00FE6366"/>
    <w:rsid w:val="00FF1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96BE05-C5C2-47AE-B6A7-892010D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2C"/>
    <w:rPr>
      <w:rFonts w:ascii="Arial" w:hAnsi="Arial" w:cs="Arial"/>
      <w:sz w:val="24"/>
      <w:szCs w:val="24"/>
      <w:lang w:eastAsia="es-ES"/>
    </w:rPr>
  </w:style>
  <w:style w:type="paragraph" w:styleId="Ttulo1">
    <w:name w:val="heading 1"/>
    <w:basedOn w:val="Normal"/>
    <w:next w:val="Normal"/>
    <w:qFormat/>
    <w:rsid w:val="00347184"/>
    <w:pPr>
      <w:keepNext/>
      <w:spacing w:before="240" w:after="60"/>
      <w:outlineLvl w:val="0"/>
    </w:pPr>
    <w:rPr>
      <w:b/>
      <w:bCs/>
      <w:kern w:val="32"/>
      <w:sz w:val="32"/>
      <w:szCs w:val="32"/>
    </w:rPr>
  </w:style>
  <w:style w:type="paragraph" w:styleId="Ttulo2">
    <w:name w:val="heading 2"/>
    <w:basedOn w:val="Normal"/>
    <w:next w:val="Normal"/>
    <w:qFormat/>
    <w:rsid w:val="00216A71"/>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16A71"/>
    <w:pPr>
      <w:jc w:val="center"/>
    </w:pPr>
    <w:rPr>
      <w:b/>
      <w:bCs/>
    </w:rPr>
  </w:style>
  <w:style w:type="paragraph" w:styleId="Textodeglobo">
    <w:name w:val="Balloon Text"/>
    <w:basedOn w:val="Normal"/>
    <w:semiHidden/>
    <w:rsid w:val="00256FB5"/>
    <w:rPr>
      <w:rFonts w:ascii="Tahoma" w:hAnsi="Tahoma" w:cs="Tahoma"/>
      <w:sz w:val="16"/>
      <w:szCs w:val="16"/>
    </w:rPr>
  </w:style>
  <w:style w:type="character" w:styleId="Hipervnculo">
    <w:name w:val="Hyperlink"/>
    <w:rsid w:val="0027754D"/>
    <w:rPr>
      <w:color w:val="0000FF"/>
      <w:u w:val="single"/>
    </w:rPr>
  </w:style>
  <w:style w:type="paragraph" w:customStyle="1" w:styleId="Texto">
    <w:name w:val="Texto"/>
    <w:basedOn w:val="Normal"/>
    <w:rsid w:val="00DA3483"/>
    <w:pPr>
      <w:spacing w:after="101" w:line="216" w:lineRule="exact"/>
      <w:ind w:firstLine="288"/>
      <w:jc w:val="both"/>
    </w:pPr>
    <w:rPr>
      <w:rFonts w:cs="Times New Roman"/>
      <w:sz w:val="18"/>
      <w:szCs w:val="20"/>
    </w:rPr>
  </w:style>
  <w:style w:type="paragraph" w:styleId="Encabezado">
    <w:name w:val="header"/>
    <w:basedOn w:val="Normal"/>
    <w:link w:val="EncabezadoCar"/>
    <w:uiPriority w:val="99"/>
    <w:rsid w:val="008232F8"/>
    <w:pPr>
      <w:tabs>
        <w:tab w:val="center" w:pos="4252"/>
        <w:tab w:val="right" w:pos="8504"/>
      </w:tabs>
    </w:pPr>
  </w:style>
  <w:style w:type="paragraph" w:styleId="Piedepgina">
    <w:name w:val="footer"/>
    <w:basedOn w:val="Normal"/>
    <w:rsid w:val="008232F8"/>
    <w:pPr>
      <w:tabs>
        <w:tab w:val="center" w:pos="4252"/>
        <w:tab w:val="right" w:pos="8504"/>
      </w:tabs>
    </w:pPr>
  </w:style>
  <w:style w:type="character" w:styleId="Nmerodepgina">
    <w:name w:val="page number"/>
    <w:basedOn w:val="Fuentedeprrafopredeter"/>
    <w:rsid w:val="001729E7"/>
  </w:style>
  <w:style w:type="paragraph" w:styleId="Textoindependiente2">
    <w:name w:val="Body Text 2"/>
    <w:basedOn w:val="Normal"/>
    <w:rsid w:val="00841D65"/>
    <w:pPr>
      <w:spacing w:after="120" w:line="480" w:lineRule="auto"/>
    </w:pPr>
  </w:style>
  <w:style w:type="table" w:styleId="Tablaconcuadrcula">
    <w:name w:val="Table Grid"/>
    <w:basedOn w:val="Tablanormal"/>
    <w:uiPriority w:val="39"/>
    <w:rsid w:val="0084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ígrafe"/>
    <w:basedOn w:val="Normal"/>
    <w:next w:val="Normal"/>
    <w:qFormat/>
    <w:rsid w:val="005A4BC5"/>
    <w:rPr>
      <w:b/>
      <w:bCs/>
      <w:sz w:val="22"/>
      <w:lang w:val="es-ES"/>
    </w:rPr>
  </w:style>
  <w:style w:type="paragraph" w:customStyle="1" w:styleId="SECRETARIADELAFUNCIONPUBLICA">
    <w:name w:val="SECRETARIA DE LA FUNCION PUBLICA"/>
    <w:basedOn w:val="Normal"/>
    <w:rsid w:val="000A1961"/>
    <w:rPr>
      <w:rFonts w:eastAsia="Batang" w:cs="Times New Roman"/>
      <w:kern w:val="18"/>
      <w:sz w:val="18"/>
      <w:szCs w:val="20"/>
      <w:lang w:val="es-ES" w:eastAsia="en-US"/>
    </w:rPr>
  </w:style>
  <w:style w:type="paragraph" w:styleId="Firma">
    <w:name w:val="Signature"/>
    <w:basedOn w:val="Normal"/>
    <w:next w:val="Normal"/>
    <w:rsid w:val="000A1961"/>
    <w:pPr>
      <w:keepNext/>
      <w:spacing w:before="880" w:line="240" w:lineRule="atLeast"/>
      <w:ind w:left="4565"/>
    </w:pPr>
    <w:rPr>
      <w:rFonts w:ascii="Garamond" w:eastAsia="Batang" w:hAnsi="Garamond" w:cs="Times New Roman"/>
      <w:kern w:val="18"/>
      <w:sz w:val="20"/>
      <w:szCs w:val="20"/>
      <w:lang w:val="es-ES" w:eastAsia="en-US"/>
    </w:rPr>
  </w:style>
  <w:style w:type="paragraph" w:styleId="Textodebloque">
    <w:name w:val="Block Text"/>
    <w:basedOn w:val="Normal"/>
    <w:rsid w:val="004325A7"/>
    <w:pPr>
      <w:tabs>
        <w:tab w:val="left" w:pos="1843"/>
      </w:tabs>
      <w:ind w:left="1134" w:right="-1" w:hanging="1134"/>
    </w:pPr>
    <w:rPr>
      <w:rFonts w:ascii="Times New Roman" w:hAnsi="Times New Roman" w:cs="Times New Roman"/>
      <w:b/>
      <w:sz w:val="26"/>
      <w:szCs w:val="20"/>
      <w:lang w:val="es-ES_tradnl"/>
    </w:rPr>
  </w:style>
  <w:style w:type="character" w:customStyle="1" w:styleId="EncabezadoCar">
    <w:name w:val="Encabezado Car"/>
    <w:link w:val="Encabezado"/>
    <w:uiPriority w:val="99"/>
    <w:rsid w:val="00C05AD6"/>
    <w:rPr>
      <w:rFonts w:ascii="Arial" w:hAnsi="Arial" w:cs="Arial"/>
      <w:sz w:val="24"/>
      <w:szCs w:val="24"/>
      <w:lang w:eastAsia="es-ES"/>
    </w:rPr>
  </w:style>
  <w:style w:type="paragraph" w:styleId="Prrafodelista">
    <w:name w:val="List Paragraph"/>
    <w:basedOn w:val="Normal"/>
    <w:uiPriority w:val="34"/>
    <w:qFormat/>
    <w:rsid w:val="00B5750F"/>
    <w:pPr>
      <w:ind w:left="720"/>
      <w:contextualSpacing/>
    </w:pPr>
  </w:style>
  <w:style w:type="paragraph" w:customStyle="1" w:styleId="Default">
    <w:name w:val="Default"/>
    <w:rsid w:val="006B68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1163">
      <w:bodyDiv w:val="1"/>
      <w:marLeft w:val="0"/>
      <w:marRight w:val="0"/>
      <w:marTop w:val="0"/>
      <w:marBottom w:val="0"/>
      <w:divBdr>
        <w:top w:val="none" w:sz="0" w:space="0" w:color="auto"/>
        <w:left w:val="none" w:sz="0" w:space="0" w:color="auto"/>
        <w:bottom w:val="none" w:sz="0" w:space="0" w:color="auto"/>
        <w:right w:val="none" w:sz="0" w:space="0" w:color="auto"/>
      </w:divBdr>
    </w:div>
    <w:div w:id="810250159">
      <w:bodyDiv w:val="1"/>
      <w:marLeft w:val="0"/>
      <w:marRight w:val="0"/>
      <w:marTop w:val="0"/>
      <w:marBottom w:val="0"/>
      <w:divBdr>
        <w:top w:val="none" w:sz="0" w:space="0" w:color="auto"/>
        <w:left w:val="none" w:sz="0" w:space="0" w:color="auto"/>
        <w:bottom w:val="none" w:sz="0" w:space="0" w:color="auto"/>
        <w:right w:val="none" w:sz="0" w:space="0" w:color="auto"/>
      </w:divBdr>
    </w:div>
    <w:div w:id="10326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EGA\Mis%20documentos\funci&#243;n%20p&#250;blica\OFICIOS\Hoja%20USP-Descrip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USP-Descriptivo</Template>
  <TotalTime>1</TotalTime>
  <Pages>10</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SECODAM</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MVEGA</dc:creator>
  <cp:keywords/>
  <cp:lastModifiedBy>De la Rosa Bonilla Mayetzi</cp:lastModifiedBy>
  <cp:revision>2</cp:revision>
  <cp:lastPrinted>2014-12-18T18:52:00Z</cp:lastPrinted>
  <dcterms:created xsi:type="dcterms:W3CDTF">2014-12-22T15:31:00Z</dcterms:created>
  <dcterms:modified xsi:type="dcterms:W3CDTF">2014-12-22T15:31:00Z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