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05" w:rsidRDefault="00E06505" w:rsidP="00153A68">
      <w:pPr>
        <w:spacing w:after="0"/>
        <w:jc w:val="right"/>
        <w:rPr>
          <w:rFonts w:cs="Arial"/>
          <w:sz w:val="20"/>
          <w:szCs w:val="20"/>
        </w:rPr>
      </w:pPr>
    </w:p>
    <w:p w:rsidR="0018475B" w:rsidRDefault="0018475B" w:rsidP="00153A68">
      <w:pPr>
        <w:spacing w:after="0"/>
        <w:jc w:val="right"/>
        <w:rPr>
          <w:rFonts w:cs="Arial"/>
          <w:sz w:val="20"/>
          <w:szCs w:val="20"/>
        </w:rPr>
      </w:pPr>
    </w:p>
    <w:p w:rsidR="0018475B" w:rsidRDefault="0018475B" w:rsidP="00153A68">
      <w:pPr>
        <w:spacing w:after="0"/>
        <w:jc w:val="right"/>
        <w:rPr>
          <w:rFonts w:cs="Arial"/>
          <w:sz w:val="20"/>
          <w:szCs w:val="20"/>
        </w:rPr>
      </w:pPr>
    </w:p>
    <w:p w:rsidR="00153A68" w:rsidRPr="00D966DA" w:rsidRDefault="00CF10ED" w:rsidP="00F573BE">
      <w:pPr>
        <w:pStyle w:val="Prrafodelista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</w:rPr>
      </w:pPr>
      <w:r w:rsidRPr="00D966DA">
        <w:rPr>
          <w:rFonts w:ascii="Arial" w:hAnsi="Arial" w:cs="Arial"/>
          <w:b/>
        </w:rPr>
        <w:t>Introducción</w:t>
      </w:r>
    </w:p>
    <w:p w:rsidR="00074042" w:rsidRDefault="00513691" w:rsidP="000740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C. </w:t>
      </w:r>
      <w:r w:rsidRPr="00D966DA">
        <w:rPr>
          <w:rFonts w:ascii="Arial" w:hAnsi="Arial" w:cs="Arial"/>
        </w:rPr>
        <w:t>Presidente de la República</w:t>
      </w:r>
      <w:r>
        <w:rPr>
          <w:rFonts w:ascii="Arial" w:hAnsi="Arial" w:cs="Arial"/>
        </w:rPr>
        <w:t xml:space="preserve"> presentó el pasado 3 de febrero las acciones ejecutivas </w:t>
      </w:r>
      <w:r w:rsidR="00F435ED">
        <w:rPr>
          <w:rFonts w:ascii="Arial" w:hAnsi="Arial" w:cs="Arial"/>
        </w:rPr>
        <w:t>para prevenir la corrupción y e</w:t>
      </w:r>
      <w:r>
        <w:rPr>
          <w:rFonts w:ascii="Arial" w:hAnsi="Arial" w:cs="Arial"/>
        </w:rPr>
        <w:t xml:space="preserve">vitar los conflictos de interés, en particular </w:t>
      </w:r>
      <w:r w:rsidR="00074042" w:rsidRPr="00D966D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número </w:t>
      </w:r>
      <w:r w:rsidR="00074042" w:rsidRPr="00D966DA">
        <w:rPr>
          <w:rFonts w:ascii="Arial" w:hAnsi="Arial" w:cs="Arial"/>
        </w:rPr>
        <w:t xml:space="preserve">5, </w:t>
      </w:r>
      <w:r>
        <w:rPr>
          <w:rFonts w:ascii="Arial" w:hAnsi="Arial" w:cs="Arial"/>
        </w:rPr>
        <w:t xml:space="preserve">en la cual </w:t>
      </w:r>
      <w:r w:rsidR="003D7E5D">
        <w:rPr>
          <w:rFonts w:ascii="Arial" w:hAnsi="Arial" w:cs="Arial"/>
        </w:rPr>
        <w:t>instruye</w:t>
      </w:r>
      <w:r>
        <w:rPr>
          <w:rFonts w:ascii="Arial" w:hAnsi="Arial" w:cs="Arial"/>
        </w:rPr>
        <w:t xml:space="preserve"> que </w:t>
      </w:r>
      <w:r w:rsidR="00F435ED" w:rsidRPr="00B57C97">
        <w:rPr>
          <w:rFonts w:ascii="Arial" w:hAnsi="Arial" w:cs="Arial"/>
        </w:rPr>
        <w:t xml:space="preserve">todas las dependencias y entidades de la Administración Pública Federal tendrán hasta el mes de abril para identificar y clasificar el nivel de responsabilidad de los servidores públicos que intervengan en </w:t>
      </w:r>
      <w:r>
        <w:rPr>
          <w:rFonts w:ascii="Arial" w:hAnsi="Arial" w:cs="Arial"/>
        </w:rPr>
        <w:t xml:space="preserve">los </w:t>
      </w:r>
      <w:r w:rsidR="00F435ED" w:rsidRPr="00B57C97">
        <w:rPr>
          <w:rFonts w:ascii="Arial" w:hAnsi="Arial" w:cs="Arial"/>
        </w:rPr>
        <w:t xml:space="preserve"> procedimientos</w:t>
      </w:r>
      <w:r>
        <w:rPr>
          <w:rFonts w:ascii="Arial" w:hAnsi="Arial" w:cs="Arial"/>
        </w:rPr>
        <w:t xml:space="preserve"> </w:t>
      </w:r>
      <w:r w:rsidRPr="00D126A0">
        <w:rPr>
          <w:rFonts w:ascii="Arial" w:hAnsi="Arial" w:cs="Arial"/>
        </w:rPr>
        <w:t>de contrataciones públicas, li</w:t>
      </w:r>
      <w:r w:rsidR="001D5E15">
        <w:rPr>
          <w:rFonts w:ascii="Arial" w:hAnsi="Arial" w:cs="Arial"/>
        </w:rPr>
        <w:t xml:space="preserve">cencias, concesiones y permisos; </w:t>
      </w:r>
      <w:r>
        <w:rPr>
          <w:rFonts w:ascii="Arial" w:hAnsi="Arial" w:cs="Arial"/>
        </w:rPr>
        <w:t>l</w:t>
      </w:r>
      <w:r w:rsidR="00F435ED" w:rsidRPr="00B57C97">
        <w:rPr>
          <w:rFonts w:ascii="Arial" w:hAnsi="Arial" w:cs="Arial"/>
        </w:rPr>
        <w:t>a S</w:t>
      </w:r>
      <w:r>
        <w:rPr>
          <w:rFonts w:ascii="Arial" w:hAnsi="Arial" w:cs="Arial"/>
        </w:rPr>
        <w:t xml:space="preserve">ecretaría de la </w:t>
      </w:r>
      <w:r w:rsidR="00F435ED" w:rsidRPr="00B57C9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unción </w:t>
      </w:r>
      <w:r w:rsidR="00F435ED" w:rsidRPr="00B57C97">
        <w:rPr>
          <w:rFonts w:ascii="Arial" w:hAnsi="Arial" w:cs="Arial"/>
        </w:rPr>
        <w:t>P</w:t>
      </w:r>
      <w:r>
        <w:rPr>
          <w:rFonts w:ascii="Arial" w:hAnsi="Arial" w:cs="Arial"/>
        </w:rPr>
        <w:t>ública (SFP)</w:t>
      </w:r>
      <w:r w:rsidR="00F435ED" w:rsidRPr="00B57C97">
        <w:rPr>
          <w:rFonts w:ascii="Arial" w:hAnsi="Arial" w:cs="Arial"/>
        </w:rPr>
        <w:t xml:space="preserve"> deberá integrar un registro de dichos funcionarios y someterlos a una certificación, a efecto de asegurar su </w:t>
      </w:r>
      <w:r>
        <w:rPr>
          <w:rFonts w:ascii="Arial" w:hAnsi="Arial" w:cs="Arial"/>
        </w:rPr>
        <w:t>honestidad y adecuado desempeño.</w:t>
      </w:r>
    </w:p>
    <w:p w:rsidR="00810BF0" w:rsidRPr="00D966DA" w:rsidRDefault="00810BF0" w:rsidP="000740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acciones de referencia responden a la necesidad de contar con políticas públicas efectivas que garanticen que la toma de decisiones gu</w:t>
      </w:r>
      <w:r w:rsidR="007C6147">
        <w:rPr>
          <w:rFonts w:ascii="Arial" w:hAnsi="Arial" w:cs="Arial"/>
        </w:rPr>
        <w:t xml:space="preserve">bernamentales no sea </w:t>
      </w:r>
      <w:r w:rsidR="00A106D4">
        <w:rPr>
          <w:rFonts w:ascii="Arial" w:hAnsi="Arial" w:cs="Arial"/>
        </w:rPr>
        <w:t>vulnerada</w:t>
      </w:r>
      <w:r>
        <w:rPr>
          <w:rFonts w:ascii="Arial" w:hAnsi="Arial" w:cs="Arial"/>
        </w:rPr>
        <w:t xml:space="preserve"> por intereses privados y, en consecuencia, se evite el conflicto de interés en la actuación de los servidores públicos respecto de los procedimientos señalados.</w:t>
      </w:r>
    </w:p>
    <w:p w:rsidR="00EF1697" w:rsidRDefault="00F53C5A" w:rsidP="000803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</w:t>
      </w:r>
      <w:r w:rsidR="006765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SFP se </w:t>
      </w:r>
      <w:r w:rsidR="00676576">
        <w:rPr>
          <w:rFonts w:ascii="Arial" w:hAnsi="Arial" w:cs="Arial"/>
        </w:rPr>
        <w:t>ha dado</w:t>
      </w:r>
      <w:r>
        <w:rPr>
          <w:rFonts w:ascii="Arial" w:hAnsi="Arial" w:cs="Arial"/>
        </w:rPr>
        <w:t xml:space="preserve"> a la tarea de establecer el mecanismo para </w:t>
      </w:r>
      <w:r w:rsidR="006C5662">
        <w:rPr>
          <w:rFonts w:ascii="Arial" w:hAnsi="Arial" w:cs="Arial"/>
        </w:rPr>
        <w:t xml:space="preserve">que las dependencias y </w:t>
      </w:r>
      <w:r w:rsidR="00676576">
        <w:rPr>
          <w:rFonts w:ascii="Arial" w:hAnsi="Arial" w:cs="Arial"/>
        </w:rPr>
        <w:t>entidades</w:t>
      </w:r>
      <w:r w:rsidR="006C5662">
        <w:rPr>
          <w:rFonts w:ascii="Arial" w:hAnsi="Arial" w:cs="Arial"/>
        </w:rPr>
        <w:t xml:space="preserve"> de la Administración Pública Federal, la Procuraduría General de la República y la Oficina de la Presidencia de la República (instituciones públicas)</w:t>
      </w:r>
      <w:r w:rsidR="001D4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</w:t>
      </w:r>
      <w:r w:rsidR="00676576">
        <w:rPr>
          <w:rFonts w:ascii="Arial" w:hAnsi="Arial" w:cs="Arial"/>
        </w:rPr>
        <w:t>fiquen y clasifiquen el nivel de responsabilidad de</w:t>
      </w:r>
      <w:r>
        <w:rPr>
          <w:rFonts w:ascii="Arial" w:hAnsi="Arial" w:cs="Arial"/>
        </w:rPr>
        <w:t xml:space="preserve"> los s</w:t>
      </w:r>
      <w:r w:rsidR="00676576">
        <w:rPr>
          <w:rFonts w:ascii="Arial" w:hAnsi="Arial" w:cs="Arial"/>
        </w:rPr>
        <w:t>ervidores</w:t>
      </w:r>
      <w:r>
        <w:rPr>
          <w:rFonts w:ascii="Arial" w:hAnsi="Arial" w:cs="Arial"/>
        </w:rPr>
        <w:t xml:space="preserve"> públicos que participan en </w:t>
      </w:r>
      <w:r w:rsidR="00676576">
        <w:rPr>
          <w:rFonts w:ascii="Arial" w:hAnsi="Arial" w:cs="Arial"/>
        </w:rPr>
        <w:t>los referidos</w:t>
      </w:r>
      <w:r>
        <w:rPr>
          <w:rFonts w:ascii="Arial" w:hAnsi="Arial" w:cs="Arial"/>
        </w:rPr>
        <w:t xml:space="preserve"> procedimientos</w:t>
      </w:r>
      <w:r w:rsidR="000A7879">
        <w:rPr>
          <w:rFonts w:ascii="Arial" w:hAnsi="Arial" w:cs="Arial"/>
        </w:rPr>
        <w:t xml:space="preserve">. </w:t>
      </w:r>
    </w:p>
    <w:p w:rsidR="0084497D" w:rsidRDefault="000A7879" w:rsidP="000803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6576">
        <w:rPr>
          <w:rFonts w:ascii="Arial" w:hAnsi="Arial" w:cs="Arial"/>
        </w:rPr>
        <w:t xml:space="preserve">entro del estudio </w:t>
      </w:r>
      <w:r w:rsidR="00F53C5A">
        <w:rPr>
          <w:rFonts w:ascii="Arial" w:hAnsi="Arial" w:cs="Arial"/>
        </w:rPr>
        <w:t>realizado</w:t>
      </w:r>
      <w:r w:rsidR="00B7242E">
        <w:rPr>
          <w:rFonts w:ascii="Arial" w:hAnsi="Arial" w:cs="Arial"/>
        </w:rPr>
        <w:t xml:space="preserve"> para ese mecanismo</w:t>
      </w:r>
      <w:r w:rsidR="00676576">
        <w:rPr>
          <w:rFonts w:ascii="Arial" w:hAnsi="Arial" w:cs="Arial"/>
        </w:rPr>
        <w:t>,</w:t>
      </w:r>
      <w:r w:rsidR="00F53C5A">
        <w:rPr>
          <w:rFonts w:ascii="Arial" w:hAnsi="Arial" w:cs="Arial"/>
        </w:rPr>
        <w:t xml:space="preserve"> se </w:t>
      </w:r>
      <w:r w:rsidR="00676576">
        <w:rPr>
          <w:rFonts w:ascii="Arial" w:hAnsi="Arial" w:cs="Arial"/>
        </w:rPr>
        <w:t xml:space="preserve">detectó que </w:t>
      </w:r>
      <w:r w:rsidR="0084497D">
        <w:rPr>
          <w:rFonts w:ascii="Arial" w:hAnsi="Arial" w:cs="Arial"/>
        </w:rPr>
        <w:t xml:space="preserve">en los procedimientos de </w:t>
      </w:r>
      <w:r w:rsidR="00F53C5A">
        <w:rPr>
          <w:rFonts w:ascii="Arial" w:hAnsi="Arial" w:cs="Arial"/>
        </w:rPr>
        <w:t>enajenación de bienes muebles</w:t>
      </w:r>
      <w:r w:rsidR="00211F5A">
        <w:rPr>
          <w:rFonts w:ascii="Arial" w:hAnsi="Arial" w:cs="Arial"/>
        </w:rPr>
        <w:t>,</w:t>
      </w:r>
      <w:r w:rsidR="0084497D">
        <w:rPr>
          <w:rFonts w:ascii="Arial" w:hAnsi="Arial" w:cs="Arial"/>
        </w:rPr>
        <w:t xml:space="preserve"> en </w:t>
      </w:r>
      <w:r w:rsidR="00676576">
        <w:rPr>
          <w:rFonts w:ascii="Arial" w:hAnsi="Arial" w:cs="Arial"/>
        </w:rPr>
        <w:t>la asignaci</w:t>
      </w:r>
      <w:r w:rsidR="0084497D">
        <w:rPr>
          <w:rFonts w:ascii="Arial" w:hAnsi="Arial" w:cs="Arial"/>
        </w:rPr>
        <w:t>ón de los trabajos valuatorios</w:t>
      </w:r>
      <w:r w:rsidR="00211F5A">
        <w:rPr>
          <w:rFonts w:ascii="Arial" w:hAnsi="Arial" w:cs="Arial"/>
        </w:rPr>
        <w:t>,</w:t>
      </w:r>
      <w:r w:rsidR="00676576">
        <w:rPr>
          <w:rFonts w:ascii="Arial" w:hAnsi="Arial" w:cs="Arial"/>
        </w:rPr>
        <w:t xml:space="preserve"> y la emisión de avalúos y justipreciac</w:t>
      </w:r>
      <w:r w:rsidR="0084497D">
        <w:rPr>
          <w:rFonts w:ascii="Arial" w:hAnsi="Arial" w:cs="Arial"/>
        </w:rPr>
        <w:t>iones de renta</w:t>
      </w:r>
      <w:r w:rsidR="00676576">
        <w:rPr>
          <w:rFonts w:ascii="Arial" w:hAnsi="Arial" w:cs="Arial"/>
        </w:rPr>
        <w:t>,</w:t>
      </w:r>
      <w:r w:rsidR="0084497D">
        <w:rPr>
          <w:rFonts w:ascii="Arial" w:hAnsi="Arial" w:cs="Arial"/>
        </w:rPr>
        <w:t xml:space="preserve"> que derivan </w:t>
      </w:r>
      <w:r w:rsidR="00A64F52">
        <w:rPr>
          <w:rFonts w:ascii="Arial" w:hAnsi="Arial" w:cs="Arial"/>
        </w:rPr>
        <w:t xml:space="preserve">en </w:t>
      </w:r>
      <w:r w:rsidR="0084497D">
        <w:rPr>
          <w:rFonts w:ascii="Arial" w:hAnsi="Arial" w:cs="Arial"/>
        </w:rPr>
        <w:t xml:space="preserve">una contratación </w:t>
      </w:r>
      <w:r w:rsidR="00F53C5A">
        <w:rPr>
          <w:rFonts w:ascii="Arial" w:hAnsi="Arial" w:cs="Arial"/>
        </w:rPr>
        <w:t>pública,</w:t>
      </w:r>
      <w:r w:rsidR="00676576">
        <w:rPr>
          <w:rFonts w:ascii="Arial" w:hAnsi="Arial" w:cs="Arial"/>
        </w:rPr>
        <w:t xml:space="preserve"> pudiera</w:t>
      </w:r>
      <w:r w:rsidR="0084497D">
        <w:rPr>
          <w:rFonts w:ascii="Arial" w:hAnsi="Arial" w:cs="Arial"/>
        </w:rPr>
        <w:t>n</w:t>
      </w:r>
      <w:r w:rsidR="00676576">
        <w:rPr>
          <w:rFonts w:ascii="Arial" w:hAnsi="Arial" w:cs="Arial"/>
        </w:rPr>
        <w:t xml:space="preserve"> </w:t>
      </w:r>
      <w:r w:rsidR="0084497D">
        <w:rPr>
          <w:rFonts w:ascii="Arial" w:hAnsi="Arial" w:cs="Arial"/>
        </w:rPr>
        <w:t>presentarse</w:t>
      </w:r>
      <w:r w:rsidR="00676576">
        <w:rPr>
          <w:rFonts w:ascii="Arial" w:hAnsi="Arial" w:cs="Arial"/>
        </w:rPr>
        <w:t xml:space="preserve"> conflicto</w:t>
      </w:r>
      <w:r w:rsidR="0084497D">
        <w:rPr>
          <w:rFonts w:ascii="Arial" w:hAnsi="Arial" w:cs="Arial"/>
        </w:rPr>
        <w:t>s</w:t>
      </w:r>
      <w:r w:rsidR="00676576">
        <w:rPr>
          <w:rFonts w:ascii="Arial" w:hAnsi="Arial" w:cs="Arial"/>
        </w:rPr>
        <w:t xml:space="preserve"> de interés</w:t>
      </w:r>
      <w:r w:rsidR="0084497D">
        <w:rPr>
          <w:rFonts w:ascii="Arial" w:hAnsi="Arial" w:cs="Arial"/>
        </w:rPr>
        <w:t>; asimismo, se advirtió que las autorizaciones que otorgan diversas dependencias comparten la misma naturaleza jurídica que los permisos, licencias y concesiones, así como en su procedimiento de expedición pudieran presentarse también conflictos de interés. En razón de lo anterior</w:t>
      </w:r>
      <w:r w:rsidR="004770C6">
        <w:rPr>
          <w:rFonts w:ascii="Arial" w:hAnsi="Arial" w:cs="Arial"/>
        </w:rPr>
        <w:t>,</w:t>
      </w:r>
      <w:r w:rsidR="0084497D">
        <w:rPr>
          <w:rFonts w:ascii="Arial" w:hAnsi="Arial" w:cs="Arial"/>
        </w:rPr>
        <w:t xml:space="preserve"> los mencionados actos también forma</w:t>
      </w:r>
      <w:r w:rsidR="004770C6">
        <w:rPr>
          <w:rFonts w:ascii="Arial" w:hAnsi="Arial" w:cs="Arial"/>
        </w:rPr>
        <w:t>rá</w:t>
      </w:r>
      <w:r w:rsidR="0084497D">
        <w:rPr>
          <w:rFonts w:ascii="Arial" w:hAnsi="Arial" w:cs="Arial"/>
        </w:rPr>
        <w:t xml:space="preserve">n parte de los trabajos de identificación y clasificación de los niveles de responsabilidad de los servidores públicos que intervienen en los mismos. </w:t>
      </w:r>
    </w:p>
    <w:p w:rsidR="005E6161" w:rsidRDefault="005E6161" w:rsidP="004C396B">
      <w:pPr>
        <w:jc w:val="both"/>
        <w:rPr>
          <w:rFonts w:ascii="Arial" w:hAnsi="Arial" w:cs="Arial"/>
          <w:b/>
        </w:rPr>
      </w:pPr>
    </w:p>
    <w:p w:rsidR="004C396B" w:rsidRPr="004C396B" w:rsidRDefault="004C396B" w:rsidP="004C396B">
      <w:pPr>
        <w:jc w:val="both"/>
        <w:rPr>
          <w:rFonts w:ascii="Arial" w:hAnsi="Arial" w:cs="Arial"/>
          <w:b/>
        </w:rPr>
      </w:pPr>
      <w:r w:rsidRPr="004C396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  <w:r w:rsidRPr="004C396B">
        <w:rPr>
          <w:rFonts w:ascii="Arial" w:hAnsi="Arial" w:cs="Arial"/>
          <w:b/>
        </w:rPr>
        <w:t xml:space="preserve"> Objeto</w:t>
      </w:r>
    </w:p>
    <w:p w:rsidR="00EF1697" w:rsidRDefault="00080389" w:rsidP="003C2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573BE">
        <w:rPr>
          <w:rFonts w:ascii="Arial" w:hAnsi="Arial" w:cs="Arial"/>
        </w:rPr>
        <w:t>l presente</w:t>
      </w:r>
      <w:r w:rsidR="009251D0">
        <w:rPr>
          <w:rFonts w:ascii="Arial" w:hAnsi="Arial" w:cs="Arial"/>
        </w:rPr>
        <w:t xml:space="preserve"> documento </w:t>
      </w:r>
      <w:r>
        <w:rPr>
          <w:rFonts w:ascii="Arial" w:hAnsi="Arial" w:cs="Arial"/>
        </w:rPr>
        <w:t>constituye un</w:t>
      </w:r>
      <w:r w:rsidR="007D7446">
        <w:rPr>
          <w:rFonts w:ascii="Arial" w:hAnsi="Arial" w:cs="Arial"/>
        </w:rPr>
        <w:t>a guía</w:t>
      </w:r>
      <w:r>
        <w:rPr>
          <w:rFonts w:ascii="Arial" w:hAnsi="Arial" w:cs="Arial"/>
        </w:rPr>
        <w:t xml:space="preserve"> que da la pauta para realizar la identificación y clasificación de los servidores públicos y sus niveles de responsabilidad correspondientes con b</w:t>
      </w:r>
      <w:r w:rsidR="004770C6">
        <w:rPr>
          <w:rFonts w:ascii="Arial" w:hAnsi="Arial" w:cs="Arial"/>
        </w:rPr>
        <w:t xml:space="preserve">ase en catálogos establecidos. </w:t>
      </w:r>
    </w:p>
    <w:p w:rsidR="00765C7A" w:rsidRDefault="003C2B5A" w:rsidP="003C2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que las </w:t>
      </w:r>
      <w:r w:rsidR="001D4215">
        <w:rPr>
          <w:rFonts w:ascii="Arial" w:hAnsi="Arial" w:cs="Arial"/>
        </w:rPr>
        <w:t>instituciones públicas</w:t>
      </w:r>
      <w:r>
        <w:rPr>
          <w:rFonts w:ascii="Arial" w:hAnsi="Arial" w:cs="Arial"/>
        </w:rPr>
        <w:t xml:space="preserve"> realicen la identificación</w:t>
      </w:r>
      <w:r w:rsidR="001D4215">
        <w:rPr>
          <w:rFonts w:ascii="Arial" w:hAnsi="Arial" w:cs="Arial"/>
        </w:rPr>
        <w:t xml:space="preserve"> y clasificación</w:t>
      </w:r>
      <w:r>
        <w:rPr>
          <w:rFonts w:ascii="Arial" w:hAnsi="Arial" w:cs="Arial"/>
        </w:rPr>
        <w:t xml:space="preserve"> en comento, deberán proceder a</w:t>
      </w:r>
      <w:r w:rsidR="001D421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registro</w:t>
      </w:r>
      <w:r w:rsidR="001D4215">
        <w:rPr>
          <w:rFonts w:ascii="Arial" w:hAnsi="Arial" w:cs="Arial"/>
        </w:rPr>
        <w:t xml:space="preserve"> de los servidores públicos</w:t>
      </w:r>
      <w:r w:rsidR="001D1C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966DA">
        <w:rPr>
          <w:rFonts w:ascii="Arial" w:hAnsi="Arial" w:cs="Arial"/>
        </w:rPr>
        <w:t>a través del sistema informático del Registro de Servidores Públicos del Gobierno Federal, denominado (RUSP)</w:t>
      </w:r>
      <w:r>
        <w:rPr>
          <w:rFonts w:ascii="Arial" w:hAnsi="Arial" w:cs="Arial"/>
        </w:rPr>
        <w:t xml:space="preserve">, para lo cual se </w:t>
      </w:r>
      <w:r w:rsidR="00080389">
        <w:rPr>
          <w:rFonts w:ascii="Arial" w:hAnsi="Arial" w:cs="Arial"/>
        </w:rPr>
        <w:t>incluyeron</w:t>
      </w:r>
      <w:r w:rsidRPr="00D966DA">
        <w:rPr>
          <w:rFonts w:ascii="Arial" w:hAnsi="Arial" w:cs="Arial"/>
        </w:rPr>
        <w:t xml:space="preserve"> </w:t>
      </w:r>
      <w:r w:rsidR="00F96595">
        <w:rPr>
          <w:rFonts w:ascii="Arial" w:hAnsi="Arial" w:cs="Arial"/>
          <w:color w:val="000000" w:themeColor="text1"/>
        </w:rPr>
        <w:t>cinco</w:t>
      </w:r>
      <w:r w:rsidR="00F96595" w:rsidRPr="00D9000E">
        <w:rPr>
          <w:rFonts w:ascii="Arial" w:hAnsi="Arial" w:cs="Arial"/>
          <w:color w:val="000000" w:themeColor="text1"/>
        </w:rPr>
        <w:t xml:space="preserve"> </w:t>
      </w:r>
      <w:r w:rsidRPr="00D966DA">
        <w:rPr>
          <w:rFonts w:ascii="Arial" w:hAnsi="Arial" w:cs="Arial"/>
        </w:rPr>
        <w:t>campos adicionales al archivo de informa</w:t>
      </w:r>
      <w:r w:rsidR="00080389">
        <w:rPr>
          <w:rFonts w:ascii="Arial" w:hAnsi="Arial" w:cs="Arial"/>
        </w:rPr>
        <w:t>ción básica del RUSP.</w:t>
      </w:r>
    </w:p>
    <w:p w:rsidR="003C2B5A" w:rsidRDefault="003C2B5A" w:rsidP="003C2B5A">
      <w:pPr>
        <w:jc w:val="both"/>
        <w:rPr>
          <w:rFonts w:cs="Arial"/>
        </w:rPr>
      </w:pPr>
    </w:p>
    <w:p w:rsidR="00ED246A" w:rsidRDefault="00ED246A" w:rsidP="003C2B5A">
      <w:pPr>
        <w:jc w:val="both"/>
        <w:rPr>
          <w:rFonts w:cs="Arial"/>
        </w:rPr>
      </w:pPr>
    </w:p>
    <w:p w:rsidR="00ED246A" w:rsidRDefault="00ED246A" w:rsidP="003C2B5A">
      <w:pPr>
        <w:jc w:val="both"/>
        <w:rPr>
          <w:rFonts w:cs="Arial"/>
        </w:rPr>
      </w:pPr>
    </w:p>
    <w:p w:rsidR="004F31FA" w:rsidRPr="002842FD" w:rsidRDefault="00750A02" w:rsidP="002842FD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842FD">
        <w:rPr>
          <w:rFonts w:ascii="Arial" w:hAnsi="Arial" w:cs="Arial"/>
          <w:b/>
        </w:rPr>
        <w:lastRenderedPageBreak/>
        <w:t xml:space="preserve">Catálogos </w:t>
      </w:r>
      <w:r w:rsidR="00CF10ED" w:rsidRPr="002842FD">
        <w:rPr>
          <w:rFonts w:ascii="Arial" w:hAnsi="Arial" w:cs="Arial"/>
          <w:b/>
        </w:rPr>
        <w:t>de los niveles de responsabilidad</w:t>
      </w:r>
    </w:p>
    <w:p w:rsidR="00750A02" w:rsidRDefault="00750A02" w:rsidP="00CF1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catálogos se refieren a las siguientes materias:</w:t>
      </w:r>
    </w:p>
    <w:p w:rsidR="00750A02" w:rsidRDefault="00750A02" w:rsidP="008E02AC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ED246A">
        <w:rPr>
          <w:rFonts w:ascii="Arial" w:hAnsi="Arial" w:cs="Arial"/>
          <w:b/>
        </w:rPr>
        <w:t>Contratacio</w:t>
      </w:r>
      <w:r w:rsidR="001E392D" w:rsidRPr="00ED246A">
        <w:rPr>
          <w:rFonts w:ascii="Arial" w:hAnsi="Arial" w:cs="Arial"/>
          <w:b/>
        </w:rPr>
        <w:t>nes Públicas:</w:t>
      </w:r>
      <w:r w:rsidR="001E392D">
        <w:rPr>
          <w:rFonts w:ascii="Arial" w:hAnsi="Arial" w:cs="Arial"/>
        </w:rPr>
        <w:t xml:space="preserve"> se contemplan aquéllas </w:t>
      </w:r>
      <w:r>
        <w:rPr>
          <w:rFonts w:ascii="Arial" w:hAnsi="Arial" w:cs="Arial"/>
        </w:rPr>
        <w:t xml:space="preserve">sujetas a la </w:t>
      </w:r>
      <w:r w:rsidRPr="00D966DA">
        <w:rPr>
          <w:rFonts w:ascii="Arial" w:hAnsi="Arial" w:cs="Arial"/>
        </w:rPr>
        <w:t>Ley de Adquisiciones, Arrendamientos y Servicios del Sector Público (LAASSP), la Ley de Obras Públicas y Servicios Relacionados con las Mismas (LOPSRM) y la Ley de Asocia</w:t>
      </w:r>
      <w:r>
        <w:rPr>
          <w:rFonts w:ascii="Arial" w:hAnsi="Arial" w:cs="Arial"/>
        </w:rPr>
        <w:t xml:space="preserve">ciones Público </w:t>
      </w:r>
      <w:r w:rsidR="007B20EB">
        <w:rPr>
          <w:rFonts w:ascii="Arial" w:hAnsi="Arial" w:cs="Arial"/>
        </w:rPr>
        <w:t xml:space="preserve">Privadas (LAPP) </w:t>
      </w:r>
      <w:bookmarkStart w:id="0" w:name="_GoBack"/>
      <w:bookmarkEnd w:id="0"/>
      <w:r w:rsidR="007B20EB">
        <w:rPr>
          <w:rFonts w:ascii="Arial" w:hAnsi="Arial" w:cs="Arial"/>
        </w:rPr>
        <w:t>(Anexo 1);</w:t>
      </w:r>
    </w:p>
    <w:p w:rsidR="008E02AC" w:rsidRDefault="00E870A0" w:rsidP="008E02AC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ED246A">
        <w:rPr>
          <w:rFonts w:ascii="Arial" w:hAnsi="Arial" w:cs="Arial"/>
          <w:b/>
        </w:rPr>
        <w:t xml:space="preserve">Concesiones, licencias, permisos, autorizaciones </w:t>
      </w:r>
      <w:r w:rsidR="00D9000E" w:rsidRPr="00ED246A">
        <w:rPr>
          <w:rFonts w:ascii="Arial" w:hAnsi="Arial" w:cs="Arial"/>
          <w:b/>
        </w:rPr>
        <w:t xml:space="preserve">y sus </w:t>
      </w:r>
      <w:r w:rsidRPr="00ED246A">
        <w:rPr>
          <w:rFonts w:ascii="Arial" w:hAnsi="Arial" w:cs="Arial"/>
          <w:b/>
        </w:rPr>
        <w:t>prórrogas</w:t>
      </w:r>
      <w:r w:rsidR="008E02AC" w:rsidRPr="00ED246A">
        <w:rPr>
          <w:rFonts w:ascii="Arial" w:hAnsi="Arial" w:cs="Arial"/>
          <w:b/>
        </w:rPr>
        <w:t>:</w:t>
      </w:r>
      <w:r w:rsidR="008E02AC">
        <w:rPr>
          <w:rFonts w:ascii="Arial" w:hAnsi="Arial" w:cs="Arial"/>
        </w:rPr>
        <w:t xml:space="preserve"> </w:t>
      </w:r>
      <w:r w:rsidR="00C02E7D">
        <w:rPr>
          <w:rFonts w:ascii="Arial" w:hAnsi="Arial" w:cs="Arial"/>
        </w:rPr>
        <w:t xml:space="preserve">comprende </w:t>
      </w:r>
      <w:r>
        <w:rPr>
          <w:rFonts w:ascii="Arial" w:hAnsi="Arial" w:cs="Arial"/>
        </w:rPr>
        <w:t>los regulados</w:t>
      </w:r>
      <w:r w:rsidR="008E02AC">
        <w:rPr>
          <w:rFonts w:ascii="Arial" w:hAnsi="Arial" w:cs="Arial"/>
        </w:rPr>
        <w:t xml:space="preserve"> por las diversas disposiciones jurídicas de carácter federal</w:t>
      </w:r>
      <w:r w:rsidR="002A12EC" w:rsidRPr="002A12EC">
        <w:rPr>
          <w:rFonts w:ascii="Arial" w:hAnsi="Arial" w:cs="Arial"/>
        </w:rPr>
        <w:t xml:space="preserve"> </w:t>
      </w:r>
      <w:r w:rsidR="002A12EC">
        <w:rPr>
          <w:rFonts w:ascii="Arial" w:hAnsi="Arial" w:cs="Arial"/>
        </w:rPr>
        <w:t>que otorgan las dependencias de la A</w:t>
      </w:r>
      <w:r w:rsidR="00ED246A">
        <w:rPr>
          <w:rFonts w:ascii="Arial" w:hAnsi="Arial" w:cs="Arial"/>
        </w:rPr>
        <w:t xml:space="preserve">dministración </w:t>
      </w:r>
      <w:r w:rsidR="002A12EC">
        <w:rPr>
          <w:rFonts w:ascii="Arial" w:hAnsi="Arial" w:cs="Arial"/>
        </w:rPr>
        <w:t>P</w:t>
      </w:r>
      <w:r w:rsidR="00ED246A">
        <w:rPr>
          <w:rFonts w:ascii="Arial" w:hAnsi="Arial" w:cs="Arial"/>
        </w:rPr>
        <w:t xml:space="preserve">ública </w:t>
      </w:r>
      <w:r w:rsidR="002A12EC">
        <w:rPr>
          <w:rFonts w:ascii="Arial" w:hAnsi="Arial" w:cs="Arial"/>
        </w:rPr>
        <w:t>F</w:t>
      </w:r>
      <w:r w:rsidR="00ED246A">
        <w:rPr>
          <w:rFonts w:ascii="Arial" w:hAnsi="Arial" w:cs="Arial"/>
        </w:rPr>
        <w:t>ederal (APF)</w:t>
      </w:r>
      <w:r w:rsidR="00491A81">
        <w:rPr>
          <w:rFonts w:ascii="Arial" w:hAnsi="Arial" w:cs="Arial"/>
        </w:rPr>
        <w:t xml:space="preserve"> (Anexo </w:t>
      </w:r>
      <w:r>
        <w:rPr>
          <w:rFonts w:ascii="Arial" w:hAnsi="Arial" w:cs="Arial"/>
        </w:rPr>
        <w:t>2</w:t>
      </w:r>
      <w:r w:rsidR="00491A81">
        <w:rPr>
          <w:rFonts w:ascii="Arial" w:hAnsi="Arial" w:cs="Arial"/>
        </w:rPr>
        <w:t>)</w:t>
      </w:r>
      <w:r w:rsidR="002A12EC">
        <w:rPr>
          <w:rFonts w:ascii="Arial" w:hAnsi="Arial" w:cs="Arial"/>
        </w:rPr>
        <w:t>;</w:t>
      </w:r>
    </w:p>
    <w:p w:rsidR="00750A02" w:rsidRDefault="00750A02" w:rsidP="008E02AC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ED246A">
        <w:rPr>
          <w:rFonts w:ascii="Arial" w:hAnsi="Arial" w:cs="Arial"/>
          <w:b/>
        </w:rPr>
        <w:t xml:space="preserve">Enajenación de </w:t>
      </w:r>
      <w:r w:rsidR="00E870A0" w:rsidRPr="00ED246A">
        <w:rPr>
          <w:rFonts w:ascii="Arial" w:hAnsi="Arial" w:cs="Arial"/>
          <w:b/>
        </w:rPr>
        <w:t>bienes muebles</w:t>
      </w:r>
      <w:r w:rsidRPr="00ED246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que incluyen los actos traslativos de propiedad de los bienes muebles de la federación y de las entidades paraestatales conforme a la Ley General de Bienes Nacionales (LGBN)</w:t>
      </w:r>
      <w:r w:rsidR="00645D72">
        <w:rPr>
          <w:rFonts w:ascii="Arial" w:hAnsi="Arial" w:cs="Arial"/>
        </w:rPr>
        <w:t xml:space="preserve"> (Anexo </w:t>
      </w:r>
      <w:r w:rsidR="00E870A0">
        <w:rPr>
          <w:rFonts w:ascii="Arial" w:hAnsi="Arial" w:cs="Arial"/>
        </w:rPr>
        <w:t>3</w:t>
      </w:r>
      <w:r w:rsidR="00491A81">
        <w:rPr>
          <w:rFonts w:ascii="Arial" w:hAnsi="Arial" w:cs="Arial"/>
        </w:rPr>
        <w:t>)</w:t>
      </w:r>
      <w:r w:rsidR="008E02AC">
        <w:rPr>
          <w:rFonts w:ascii="Arial" w:hAnsi="Arial" w:cs="Arial"/>
        </w:rPr>
        <w:t>;</w:t>
      </w:r>
    </w:p>
    <w:p w:rsidR="00750A02" w:rsidRDefault="00E870A0" w:rsidP="008E02AC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ED246A">
        <w:rPr>
          <w:rFonts w:ascii="Arial" w:hAnsi="Arial" w:cs="Arial"/>
          <w:b/>
        </w:rPr>
        <w:t>Asignación y emisión de dictámenes en materia de avalúos y justipreciación de rentas:</w:t>
      </w:r>
      <w:r>
        <w:rPr>
          <w:rFonts w:ascii="Arial" w:hAnsi="Arial" w:cs="Arial"/>
        </w:rPr>
        <w:t xml:space="preserve"> comprende únicamente los que son competencia del Instituto de Administración y Avalúos de Bienes Nacionales (INDAABIN) </w:t>
      </w:r>
      <w:r w:rsidR="00491A81">
        <w:rPr>
          <w:rFonts w:ascii="Arial" w:hAnsi="Arial" w:cs="Arial"/>
        </w:rPr>
        <w:t xml:space="preserve">(Anexo </w:t>
      </w:r>
      <w:r>
        <w:rPr>
          <w:rFonts w:ascii="Arial" w:hAnsi="Arial" w:cs="Arial"/>
        </w:rPr>
        <w:t>4</w:t>
      </w:r>
      <w:r w:rsidR="00491A81">
        <w:rPr>
          <w:rFonts w:ascii="Arial" w:hAnsi="Arial" w:cs="Arial"/>
        </w:rPr>
        <w:t>).</w:t>
      </w:r>
    </w:p>
    <w:p w:rsidR="00295FF9" w:rsidRDefault="00295FF9" w:rsidP="005367F8">
      <w:pPr>
        <w:pStyle w:val="Prrafodelista"/>
        <w:jc w:val="both"/>
        <w:rPr>
          <w:rFonts w:ascii="Arial" w:hAnsi="Arial" w:cs="Arial"/>
        </w:rPr>
      </w:pPr>
    </w:p>
    <w:p w:rsidR="00295FF9" w:rsidRPr="00295FF9" w:rsidRDefault="00295FF9" w:rsidP="00295FF9">
      <w:pPr>
        <w:jc w:val="both"/>
        <w:rPr>
          <w:rFonts w:ascii="Arial" w:hAnsi="Arial" w:cs="Arial"/>
        </w:rPr>
      </w:pPr>
      <w:r w:rsidRPr="00295FF9">
        <w:rPr>
          <w:rFonts w:ascii="Arial" w:hAnsi="Arial" w:cs="Arial"/>
        </w:rPr>
        <w:t xml:space="preserve">Los </w:t>
      </w:r>
      <w:r w:rsidR="00077A7C">
        <w:rPr>
          <w:rFonts w:ascii="Arial" w:hAnsi="Arial" w:cs="Arial"/>
        </w:rPr>
        <w:t>apartados</w:t>
      </w:r>
      <w:r w:rsidRPr="00295FF9">
        <w:rPr>
          <w:rFonts w:ascii="Arial" w:hAnsi="Arial" w:cs="Arial"/>
        </w:rPr>
        <w:t xml:space="preserve"> que integran cada uno de los catálogos, son los siguientes:</w:t>
      </w:r>
    </w:p>
    <w:p w:rsidR="00295FF9" w:rsidRDefault="00295FF9" w:rsidP="00295FF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99243F">
        <w:rPr>
          <w:rFonts w:ascii="Arial" w:hAnsi="Arial" w:cs="Arial"/>
          <w:b/>
        </w:rPr>
        <w:t>Identificador del objeto de la responsabilidad:</w:t>
      </w:r>
      <w:r w:rsidR="00992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tiene como propósito asignar un número consecutivo que vincule al “objeto de responsabilidad” con el “nivel de responsabilidad”.</w:t>
      </w:r>
      <w:r w:rsidR="0099243F">
        <w:rPr>
          <w:rFonts w:ascii="Arial" w:hAnsi="Arial" w:cs="Arial"/>
        </w:rPr>
        <w:t xml:space="preserve"> </w:t>
      </w:r>
    </w:p>
    <w:p w:rsidR="00295FF9" w:rsidRDefault="00295FF9" w:rsidP="00295FF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99243F">
        <w:rPr>
          <w:rFonts w:ascii="Arial" w:hAnsi="Arial" w:cs="Arial"/>
          <w:b/>
        </w:rPr>
        <w:t>Objeto de la responsabilidad:</w:t>
      </w:r>
      <w:r>
        <w:rPr>
          <w:rFonts w:ascii="Arial" w:hAnsi="Arial" w:cs="Arial"/>
        </w:rPr>
        <w:t xml:space="preserve"> </w:t>
      </w:r>
      <w:r w:rsidR="00613617">
        <w:rPr>
          <w:rFonts w:ascii="Arial" w:hAnsi="Arial" w:cs="Arial"/>
        </w:rPr>
        <w:t>se integra con</w:t>
      </w:r>
      <w:r w:rsidR="00F91AB3">
        <w:rPr>
          <w:rFonts w:ascii="Arial" w:hAnsi="Arial" w:cs="Arial"/>
        </w:rPr>
        <w:t xml:space="preserve"> los actos que se realizan</w:t>
      </w:r>
      <w:r>
        <w:rPr>
          <w:rFonts w:ascii="Arial" w:hAnsi="Arial" w:cs="Arial"/>
        </w:rPr>
        <w:t xml:space="preserve"> en cada materia y se encuentran vinculadas de manera inmediata y directa con un potencial conflicto de interés d</w:t>
      </w:r>
      <w:r w:rsidR="002040D8">
        <w:rPr>
          <w:rFonts w:ascii="Arial" w:hAnsi="Arial" w:cs="Arial"/>
        </w:rPr>
        <w:t>e los servidores públicos que lo</w:t>
      </w:r>
      <w:r>
        <w:rPr>
          <w:rFonts w:ascii="Arial" w:hAnsi="Arial" w:cs="Arial"/>
        </w:rPr>
        <w:t>s llevan a cabo.</w:t>
      </w:r>
    </w:p>
    <w:p w:rsidR="00295FF9" w:rsidRDefault="00295FF9" w:rsidP="00295FF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99243F">
        <w:rPr>
          <w:rFonts w:ascii="Arial" w:hAnsi="Arial" w:cs="Arial"/>
          <w:b/>
        </w:rPr>
        <w:t>Elementos de orientación:</w:t>
      </w:r>
      <w:r>
        <w:rPr>
          <w:rFonts w:ascii="Arial" w:hAnsi="Arial" w:cs="Arial"/>
        </w:rPr>
        <w:t xml:space="preserve"> </w:t>
      </w:r>
      <w:r w:rsidR="002040D8">
        <w:rPr>
          <w:rFonts w:ascii="Arial" w:hAnsi="Arial" w:cs="Arial"/>
        </w:rPr>
        <w:t xml:space="preserve">en él </w:t>
      </w:r>
      <w:r>
        <w:rPr>
          <w:rFonts w:ascii="Arial" w:hAnsi="Arial" w:cs="Arial"/>
        </w:rPr>
        <w:t>se precisan</w:t>
      </w:r>
      <w:r w:rsidR="009B70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84B67">
        <w:rPr>
          <w:rFonts w:ascii="Arial" w:hAnsi="Arial" w:cs="Arial"/>
        </w:rPr>
        <w:t>con carácter enunc</w:t>
      </w:r>
      <w:r w:rsidR="002040D8">
        <w:rPr>
          <w:rFonts w:ascii="Arial" w:hAnsi="Arial" w:cs="Arial"/>
        </w:rPr>
        <w:t xml:space="preserve">iativo más </w:t>
      </w:r>
      <w:r w:rsidR="00E84B67">
        <w:rPr>
          <w:rFonts w:ascii="Arial" w:hAnsi="Arial" w:cs="Arial"/>
        </w:rPr>
        <w:t xml:space="preserve">no limitativo, </w:t>
      </w:r>
      <w:r>
        <w:rPr>
          <w:rFonts w:ascii="Arial" w:hAnsi="Arial" w:cs="Arial"/>
        </w:rPr>
        <w:t xml:space="preserve">las aclaraciones o consideraciones </w:t>
      </w:r>
      <w:r w:rsidR="00E84B67">
        <w:rPr>
          <w:rFonts w:ascii="Arial" w:hAnsi="Arial" w:cs="Arial"/>
        </w:rPr>
        <w:t>específicas</w:t>
      </w:r>
      <w:r>
        <w:rPr>
          <w:rFonts w:ascii="Arial" w:hAnsi="Arial" w:cs="Arial"/>
        </w:rPr>
        <w:t xml:space="preserve"> necesarias que orientan a las </w:t>
      </w:r>
      <w:r w:rsidR="002040D8">
        <w:rPr>
          <w:rFonts w:ascii="Arial" w:hAnsi="Arial" w:cs="Arial"/>
        </w:rPr>
        <w:t>instituciones públicas</w:t>
      </w:r>
      <w:r w:rsidR="006048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identificar y clasificar los niveles de re</w:t>
      </w:r>
      <w:r w:rsidR="00604891">
        <w:rPr>
          <w:rFonts w:ascii="Arial" w:hAnsi="Arial" w:cs="Arial"/>
        </w:rPr>
        <w:t xml:space="preserve">sponsabilidad en relación al </w:t>
      </w:r>
      <w:r w:rsidR="00647920">
        <w:rPr>
          <w:rFonts w:ascii="Arial" w:hAnsi="Arial" w:cs="Arial"/>
        </w:rPr>
        <w:t>“</w:t>
      </w:r>
      <w:r w:rsidR="00604891">
        <w:rPr>
          <w:rFonts w:ascii="Arial" w:hAnsi="Arial" w:cs="Arial"/>
        </w:rPr>
        <w:t>objeto de la responsabilidad</w:t>
      </w:r>
      <w:r w:rsidR="00647920">
        <w:rPr>
          <w:rFonts w:ascii="Arial" w:hAnsi="Arial" w:cs="Arial"/>
        </w:rPr>
        <w:t>”</w:t>
      </w:r>
      <w:r w:rsidR="00604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cargo de los servidores públicos.</w:t>
      </w:r>
    </w:p>
    <w:p w:rsidR="00E84B67" w:rsidRDefault="00E84B67" w:rsidP="00295FF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99243F">
        <w:rPr>
          <w:rFonts w:ascii="Arial" w:hAnsi="Arial" w:cs="Arial"/>
          <w:b/>
        </w:rPr>
        <w:t>Nivel de responsabilidad:</w:t>
      </w:r>
      <w:r>
        <w:rPr>
          <w:rFonts w:ascii="Arial" w:hAnsi="Arial" w:cs="Arial"/>
        </w:rPr>
        <w:t xml:space="preserve"> </w:t>
      </w:r>
      <w:r w:rsidR="00F91AB3">
        <w:rPr>
          <w:rFonts w:ascii="Arial" w:hAnsi="Arial" w:cs="Arial"/>
        </w:rPr>
        <w:t>es el rango o categoría en que se ubica al servidor público de acu</w:t>
      </w:r>
      <w:r w:rsidR="002E1ACA">
        <w:rPr>
          <w:rFonts w:ascii="Arial" w:hAnsi="Arial" w:cs="Arial"/>
        </w:rPr>
        <w:t>erdo a la actividad que realiza</w:t>
      </w:r>
      <w:r w:rsidR="00F91AB3">
        <w:rPr>
          <w:rFonts w:ascii="Arial" w:hAnsi="Arial" w:cs="Arial"/>
        </w:rPr>
        <w:t xml:space="preserve"> en cada “objeto de la responsabilidad”. </w:t>
      </w:r>
      <w:r>
        <w:rPr>
          <w:rFonts w:ascii="Arial" w:hAnsi="Arial" w:cs="Arial"/>
        </w:rPr>
        <w:t xml:space="preserve">Se </w:t>
      </w:r>
      <w:r w:rsidR="00D448B2">
        <w:rPr>
          <w:rFonts w:ascii="Arial" w:hAnsi="Arial" w:cs="Arial"/>
        </w:rPr>
        <w:t>determina partiendo de</w:t>
      </w:r>
      <w:r w:rsidR="00C710E9">
        <w:rPr>
          <w:rFonts w:ascii="Arial" w:hAnsi="Arial" w:cs="Arial"/>
        </w:rPr>
        <w:t>l “objeto de responsabilidad”</w:t>
      </w:r>
      <w:r w:rsidR="004D6771">
        <w:rPr>
          <w:rFonts w:ascii="Arial" w:hAnsi="Arial" w:cs="Arial"/>
        </w:rPr>
        <w:t xml:space="preserve"> en el que participa</w:t>
      </w:r>
      <w:r w:rsidR="00D448B2">
        <w:rPr>
          <w:rFonts w:ascii="Arial" w:hAnsi="Arial" w:cs="Arial"/>
        </w:rPr>
        <w:t xml:space="preserve"> cada servidor público y que pudiera generar un </w:t>
      </w:r>
      <w:r>
        <w:rPr>
          <w:rFonts w:ascii="Arial" w:hAnsi="Arial" w:cs="Arial"/>
        </w:rPr>
        <w:t>conflicto de interés, en términos de lo establecido en el artículo 8, fracci</w:t>
      </w:r>
      <w:r w:rsidR="002D7E04">
        <w:rPr>
          <w:rFonts w:ascii="Arial" w:hAnsi="Arial" w:cs="Arial"/>
        </w:rPr>
        <w:t>ones</w:t>
      </w:r>
      <w:r>
        <w:rPr>
          <w:rFonts w:ascii="Arial" w:hAnsi="Arial" w:cs="Arial"/>
        </w:rPr>
        <w:t xml:space="preserve"> XI y XII, de la Ley Federal de Responsabilidades Administrativas de los Servidores Públicos</w:t>
      </w:r>
      <w:r w:rsidR="00D448B2">
        <w:rPr>
          <w:rFonts w:ascii="Arial" w:hAnsi="Arial" w:cs="Arial"/>
        </w:rPr>
        <w:t>, por lo que</w:t>
      </w:r>
      <w:r w:rsidR="002D7E04">
        <w:rPr>
          <w:rFonts w:ascii="Arial" w:hAnsi="Arial" w:cs="Arial"/>
        </w:rPr>
        <w:t xml:space="preserve"> </w:t>
      </w:r>
      <w:r w:rsidR="00D448B2">
        <w:rPr>
          <w:rFonts w:ascii="Arial" w:hAnsi="Arial" w:cs="Arial"/>
        </w:rPr>
        <w:t xml:space="preserve">dicha participación se clasifica en los ámbitos de </w:t>
      </w:r>
      <w:r w:rsidR="002D7E04">
        <w:rPr>
          <w:rFonts w:ascii="Arial" w:hAnsi="Arial" w:cs="Arial"/>
        </w:rPr>
        <w:t>atenci</w:t>
      </w:r>
      <w:r w:rsidR="00296371">
        <w:rPr>
          <w:rFonts w:ascii="Arial" w:hAnsi="Arial" w:cs="Arial"/>
        </w:rPr>
        <w:t>ón o</w:t>
      </w:r>
      <w:r w:rsidR="002D7E04">
        <w:rPr>
          <w:rFonts w:ascii="Arial" w:hAnsi="Arial" w:cs="Arial"/>
        </w:rPr>
        <w:t xml:space="preserve"> tramitación y resolución de asuntos en los que</w:t>
      </w:r>
      <w:r w:rsidR="004D6771">
        <w:rPr>
          <w:rFonts w:ascii="Arial" w:hAnsi="Arial" w:cs="Arial"/>
        </w:rPr>
        <w:t xml:space="preserve"> pudiera existir</w:t>
      </w:r>
      <w:r w:rsidR="00FC7A20">
        <w:rPr>
          <w:rFonts w:ascii="Arial" w:hAnsi="Arial" w:cs="Arial"/>
        </w:rPr>
        <w:t xml:space="preserve"> un</w:t>
      </w:r>
      <w:r w:rsidR="002D7E04">
        <w:rPr>
          <w:rFonts w:ascii="Arial" w:hAnsi="Arial" w:cs="Arial"/>
        </w:rPr>
        <w:t xml:space="preserve"> interés personal, familiar o de negocios del servidor público</w:t>
      </w:r>
      <w:r w:rsidR="00FC7A20">
        <w:rPr>
          <w:rFonts w:ascii="Arial" w:hAnsi="Arial" w:cs="Arial"/>
        </w:rPr>
        <w:t>,</w:t>
      </w:r>
      <w:r w:rsidR="002D7E04">
        <w:rPr>
          <w:rFonts w:ascii="Arial" w:hAnsi="Arial" w:cs="Arial"/>
        </w:rPr>
        <w:t xml:space="preserve"> </w:t>
      </w:r>
      <w:r w:rsidR="00066228">
        <w:rPr>
          <w:rFonts w:ascii="Arial" w:hAnsi="Arial" w:cs="Arial"/>
        </w:rPr>
        <w:t xml:space="preserve">susceptible de </w:t>
      </w:r>
      <w:r w:rsidR="002D7E04">
        <w:rPr>
          <w:rFonts w:ascii="Arial" w:hAnsi="Arial" w:cs="Arial"/>
        </w:rPr>
        <w:t>afectar el desempeño imparcial de su empleo, cargo o comisión.</w:t>
      </w:r>
    </w:p>
    <w:p w:rsidR="002E1ACA" w:rsidRDefault="002E1ACA" w:rsidP="002E1ACA">
      <w:pPr>
        <w:jc w:val="both"/>
        <w:rPr>
          <w:rFonts w:ascii="Arial" w:hAnsi="Arial" w:cs="Arial"/>
        </w:rPr>
      </w:pPr>
    </w:p>
    <w:p w:rsidR="002E1ACA" w:rsidRDefault="002E1ACA" w:rsidP="002E1ACA">
      <w:pPr>
        <w:jc w:val="both"/>
        <w:rPr>
          <w:rFonts w:ascii="Arial" w:hAnsi="Arial" w:cs="Arial"/>
        </w:rPr>
      </w:pPr>
    </w:p>
    <w:p w:rsidR="002E1ACA" w:rsidRPr="002E1ACA" w:rsidRDefault="002E1ACA" w:rsidP="002E1ACA">
      <w:pPr>
        <w:jc w:val="both"/>
        <w:rPr>
          <w:rFonts w:ascii="Arial" w:hAnsi="Arial" w:cs="Arial"/>
        </w:rPr>
      </w:pPr>
    </w:p>
    <w:p w:rsidR="002E1ACA" w:rsidRDefault="002E1ACA" w:rsidP="00296371">
      <w:pPr>
        <w:pStyle w:val="Prrafodelista"/>
        <w:ind w:left="1440"/>
        <w:jc w:val="both"/>
        <w:rPr>
          <w:rFonts w:ascii="Arial" w:hAnsi="Arial" w:cs="Arial"/>
        </w:rPr>
      </w:pPr>
    </w:p>
    <w:p w:rsidR="002E1ACA" w:rsidRDefault="002E1ACA" w:rsidP="00296371">
      <w:pPr>
        <w:pStyle w:val="Prrafodelista"/>
        <w:ind w:left="1440"/>
        <w:jc w:val="both"/>
        <w:rPr>
          <w:rFonts w:ascii="Arial" w:hAnsi="Arial" w:cs="Arial"/>
        </w:rPr>
      </w:pPr>
    </w:p>
    <w:p w:rsidR="00296371" w:rsidRDefault="00296371" w:rsidP="00296371">
      <w:pPr>
        <w:pStyle w:val="Prrafodelista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nivel de responsabilidad </w:t>
      </w:r>
      <w:r w:rsidR="00F91AB3">
        <w:rPr>
          <w:rFonts w:ascii="Arial" w:hAnsi="Arial" w:cs="Arial"/>
        </w:rPr>
        <w:t xml:space="preserve">que corresponde a cada servidor público, se identifica en cada </w:t>
      </w:r>
      <w:r w:rsidR="00047E71">
        <w:rPr>
          <w:rFonts w:ascii="Arial" w:hAnsi="Arial" w:cs="Arial"/>
        </w:rPr>
        <w:t>“objeto de responsabilidad”</w:t>
      </w:r>
      <w:r w:rsidR="00F91AB3">
        <w:rPr>
          <w:rFonts w:ascii="Arial" w:hAnsi="Arial" w:cs="Arial"/>
        </w:rPr>
        <w:t xml:space="preserve"> de la siguiente manera:</w:t>
      </w:r>
    </w:p>
    <w:p w:rsidR="00F91AB3" w:rsidRDefault="00F91AB3" w:rsidP="00F91AB3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 o tramitación: corresponde a la actividad de (A) elaborar, (B) revisar, (C) firmar, autorizar o dictaminar y (D) supervisar.</w:t>
      </w:r>
    </w:p>
    <w:p w:rsidR="00461C4B" w:rsidRDefault="00F91AB3" w:rsidP="00461C4B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Resolución: corresponde a la actividad de (E) emitir</w:t>
      </w:r>
      <w:r w:rsidR="00BB6C69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suscribir</w:t>
      </w:r>
      <w:r w:rsidR="00461C4B">
        <w:rPr>
          <w:rFonts w:ascii="Arial" w:hAnsi="Arial" w:cs="Arial"/>
        </w:rPr>
        <w:t>.</w:t>
      </w:r>
    </w:p>
    <w:p w:rsidR="00461C4B" w:rsidRDefault="00461C4B" w:rsidP="00461C4B">
      <w:pPr>
        <w:ind w:left="1418"/>
        <w:jc w:val="both"/>
        <w:rPr>
          <w:rFonts w:ascii="Arial" w:hAnsi="Arial" w:cs="Arial"/>
        </w:rPr>
      </w:pPr>
      <w:r w:rsidRPr="00461C4B">
        <w:rPr>
          <w:rFonts w:ascii="Arial" w:hAnsi="Arial" w:cs="Arial"/>
        </w:rPr>
        <w:t>La actividad (C), se presenta dentro de la atención o tramitación sin resolver el asunto en definitiva, pero que resulta necesaria para continuar hasta su resolución. Dependiendo de la materia, dicha actividad se expresa en una firma, en una autorización o en un dictamen</w:t>
      </w:r>
      <w:r>
        <w:rPr>
          <w:rFonts w:ascii="Arial" w:hAnsi="Arial" w:cs="Arial"/>
        </w:rPr>
        <w:t>.</w:t>
      </w:r>
    </w:p>
    <w:p w:rsidR="00E2188A" w:rsidRDefault="00E2188A" w:rsidP="00461C4B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actividad (E), corresponde a la emisión del acto o la suscripción del documento con la que se resuelve en definitiva el asunto de que se trate.</w:t>
      </w:r>
    </w:p>
    <w:p w:rsidR="005E6161" w:rsidRDefault="005E6161" w:rsidP="00F026E5">
      <w:pPr>
        <w:jc w:val="both"/>
        <w:rPr>
          <w:rFonts w:ascii="Arial" w:hAnsi="Arial" w:cs="Arial"/>
        </w:rPr>
      </w:pPr>
    </w:p>
    <w:p w:rsidR="00295FF9" w:rsidRDefault="00F026E5" w:rsidP="00F026E5">
      <w:pPr>
        <w:jc w:val="both"/>
        <w:rPr>
          <w:rFonts w:ascii="Arial" w:hAnsi="Arial" w:cs="Arial"/>
        </w:rPr>
      </w:pPr>
      <w:r w:rsidRPr="00F026E5">
        <w:rPr>
          <w:rFonts w:ascii="Arial" w:hAnsi="Arial" w:cs="Arial"/>
        </w:rPr>
        <w:t xml:space="preserve">En el caso de que una institución pública identifique un </w:t>
      </w:r>
      <w:r w:rsidR="00990395">
        <w:rPr>
          <w:rFonts w:ascii="Arial" w:hAnsi="Arial" w:cs="Arial"/>
        </w:rPr>
        <w:t>“</w:t>
      </w:r>
      <w:r w:rsidRPr="00F026E5">
        <w:rPr>
          <w:rFonts w:ascii="Arial" w:hAnsi="Arial" w:cs="Arial"/>
        </w:rPr>
        <w:t>objeto de responsabilidad</w:t>
      </w:r>
      <w:r w:rsidR="00990395">
        <w:rPr>
          <w:rFonts w:ascii="Arial" w:hAnsi="Arial" w:cs="Arial"/>
        </w:rPr>
        <w:t>”</w:t>
      </w:r>
      <w:r w:rsidRPr="00F026E5">
        <w:rPr>
          <w:rFonts w:ascii="Arial" w:hAnsi="Arial" w:cs="Arial"/>
        </w:rPr>
        <w:t xml:space="preserve"> no previsto en los catálogos descritos anteriormente</w:t>
      </w:r>
      <w:r w:rsidR="00A837B8">
        <w:rPr>
          <w:rFonts w:ascii="Arial" w:hAnsi="Arial" w:cs="Arial"/>
        </w:rPr>
        <w:t>, que se encuentre sustentado en las leyes especiales de la materia que corresponda</w:t>
      </w:r>
      <w:r w:rsidR="00990395">
        <w:rPr>
          <w:rFonts w:ascii="Arial" w:hAnsi="Arial" w:cs="Arial"/>
        </w:rPr>
        <w:t>, cuando el mismo</w:t>
      </w:r>
      <w:r w:rsidR="00A837B8">
        <w:rPr>
          <w:rFonts w:ascii="Arial" w:hAnsi="Arial" w:cs="Arial"/>
        </w:rPr>
        <w:t xml:space="preserve"> </w:t>
      </w:r>
      <w:r w:rsidR="006F075A">
        <w:rPr>
          <w:rFonts w:ascii="Arial" w:hAnsi="Arial" w:cs="Arial"/>
        </w:rPr>
        <w:t>pueda generar de manera directa un conflicto de interés</w:t>
      </w:r>
      <w:r w:rsidR="00A837B8">
        <w:rPr>
          <w:rFonts w:ascii="Arial" w:hAnsi="Arial" w:cs="Arial"/>
        </w:rPr>
        <w:t xml:space="preserve">, lo hará del conocimiento de la SFP al correo electrónico </w:t>
      </w:r>
      <w:hyperlink r:id="rId8" w:history="1">
        <w:r w:rsidR="00C321E2" w:rsidRPr="00B04B67">
          <w:rPr>
            <w:rStyle w:val="Hipervnculo"/>
            <w:rFonts w:ascii="Arial" w:hAnsi="Arial" w:cs="Arial"/>
            <w:u w:val="none"/>
          </w:rPr>
          <w:t>prop_obj_resp@funcionpublica.gob.mx</w:t>
        </w:r>
      </w:hyperlink>
      <w:r w:rsidR="002937AB">
        <w:rPr>
          <w:rFonts w:ascii="Arial" w:hAnsi="Arial" w:cs="Arial"/>
        </w:rPr>
        <w:t xml:space="preserve"> señalando en qué</w:t>
      </w:r>
      <w:r w:rsidR="00A837B8">
        <w:rPr>
          <w:rFonts w:ascii="Arial" w:hAnsi="Arial" w:cs="Arial"/>
        </w:rPr>
        <w:t xml:space="preserve"> consiste dicho objeto</w:t>
      </w:r>
      <w:r w:rsidR="00990395">
        <w:rPr>
          <w:rFonts w:ascii="Arial" w:hAnsi="Arial" w:cs="Arial"/>
        </w:rPr>
        <w:t xml:space="preserve">, así como </w:t>
      </w:r>
      <w:r w:rsidR="00A837B8">
        <w:rPr>
          <w:rFonts w:ascii="Arial" w:hAnsi="Arial" w:cs="Arial"/>
        </w:rPr>
        <w:t>las razones por las cuáles se considera que debe incluirse en el catálogo respectivo, para el efecto de que la SFP analice la procedencia de ello y, en su caso</w:t>
      </w:r>
      <w:r w:rsidR="00990395">
        <w:rPr>
          <w:rFonts w:ascii="Arial" w:hAnsi="Arial" w:cs="Arial"/>
        </w:rPr>
        <w:t>,</w:t>
      </w:r>
      <w:r w:rsidR="00A837B8">
        <w:rPr>
          <w:rFonts w:ascii="Arial" w:hAnsi="Arial" w:cs="Arial"/>
        </w:rPr>
        <w:t xml:space="preserve"> realizará las modificaciones pertinente</w:t>
      </w:r>
      <w:r w:rsidR="00536A4B">
        <w:rPr>
          <w:rFonts w:ascii="Arial" w:hAnsi="Arial" w:cs="Arial"/>
        </w:rPr>
        <w:t>s</w:t>
      </w:r>
      <w:r w:rsidR="00A837B8">
        <w:rPr>
          <w:rFonts w:ascii="Arial" w:hAnsi="Arial" w:cs="Arial"/>
        </w:rPr>
        <w:t xml:space="preserve"> </w:t>
      </w:r>
      <w:r w:rsidR="00536A4B">
        <w:rPr>
          <w:rFonts w:ascii="Arial" w:hAnsi="Arial" w:cs="Arial"/>
        </w:rPr>
        <w:t>al</w:t>
      </w:r>
      <w:r w:rsidR="00A837B8">
        <w:rPr>
          <w:rFonts w:ascii="Arial" w:hAnsi="Arial" w:cs="Arial"/>
        </w:rPr>
        <w:t xml:space="preserve"> catálogo de que se trate, lo</w:t>
      </w:r>
      <w:r w:rsidR="00990395">
        <w:rPr>
          <w:rFonts w:ascii="Arial" w:hAnsi="Arial" w:cs="Arial"/>
        </w:rPr>
        <w:t xml:space="preserve"> cual</w:t>
      </w:r>
      <w:r w:rsidR="00A837B8">
        <w:rPr>
          <w:rFonts w:ascii="Arial" w:hAnsi="Arial" w:cs="Arial"/>
        </w:rPr>
        <w:t xml:space="preserve"> hará del conocimiento </w:t>
      </w:r>
      <w:r w:rsidR="00990395">
        <w:rPr>
          <w:rFonts w:ascii="Arial" w:hAnsi="Arial" w:cs="Arial"/>
        </w:rPr>
        <w:t>de</w:t>
      </w:r>
      <w:r w:rsidR="00A837B8">
        <w:rPr>
          <w:rFonts w:ascii="Arial" w:hAnsi="Arial" w:cs="Arial"/>
        </w:rPr>
        <w:t xml:space="preserve"> las instituciones públicas.</w:t>
      </w:r>
    </w:p>
    <w:p w:rsidR="005367F8" w:rsidRPr="00750A02" w:rsidRDefault="005367F8" w:rsidP="005367F8">
      <w:pPr>
        <w:pStyle w:val="Prrafodelista"/>
        <w:jc w:val="both"/>
        <w:rPr>
          <w:rFonts w:ascii="Arial" w:hAnsi="Arial" w:cs="Arial"/>
        </w:rPr>
      </w:pPr>
    </w:p>
    <w:p w:rsidR="00CF10ED" w:rsidRPr="00D966DA" w:rsidRDefault="00CF10ED" w:rsidP="002842FD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D966DA">
        <w:rPr>
          <w:rFonts w:ascii="Arial" w:hAnsi="Arial" w:cs="Arial"/>
          <w:b/>
        </w:rPr>
        <w:t xml:space="preserve">Servidores públicos que deben ser identificados </w:t>
      </w:r>
      <w:r w:rsidR="009C6D0D">
        <w:rPr>
          <w:rFonts w:ascii="Arial" w:hAnsi="Arial" w:cs="Arial"/>
          <w:b/>
        </w:rPr>
        <w:t xml:space="preserve">y clasificados </w:t>
      </w:r>
      <w:r w:rsidRPr="00D966DA">
        <w:rPr>
          <w:rFonts w:ascii="Arial" w:hAnsi="Arial" w:cs="Arial"/>
          <w:b/>
        </w:rPr>
        <w:t xml:space="preserve">para su </w:t>
      </w:r>
      <w:r w:rsidR="007B20EB" w:rsidRPr="00D966DA">
        <w:rPr>
          <w:rFonts w:ascii="Arial" w:hAnsi="Arial" w:cs="Arial"/>
          <w:b/>
        </w:rPr>
        <w:t>registro</w:t>
      </w:r>
    </w:p>
    <w:p w:rsidR="004A3486" w:rsidRDefault="00CF10ED" w:rsidP="00CF10ED">
      <w:pPr>
        <w:jc w:val="both"/>
        <w:rPr>
          <w:rFonts w:ascii="Arial" w:hAnsi="Arial" w:cs="Arial"/>
        </w:rPr>
      </w:pPr>
      <w:r w:rsidRPr="00D966DA">
        <w:rPr>
          <w:rFonts w:ascii="Arial" w:hAnsi="Arial" w:cs="Arial"/>
        </w:rPr>
        <w:t>Se deberán considerar a todos los servido</w:t>
      </w:r>
      <w:r w:rsidR="004A2DF3">
        <w:rPr>
          <w:rFonts w:ascii="Arial" w:hAnsi="Arial" w:cs="Arial"/>
        </w:rPr>
        <w:t xml:space="preserve">res públicos </w:t>
      </w:r>
      <w:r w:rsidR="009C6D0D">
        <w:rPr>
          <w:rFonts w:ascii="Arial" w:hAnsi="Arial" w:cs="Arial"/>
        </w:rPr>
        <w:t xml:space="preserve">de las instituciones públicas </w:t>
      </w:r>
      <w:r w:rsidR="004A2DF3">
        <w:rPr>
          <w:rFonts w:ascii="Arial" w:hAnsi="Arial" w:cs="Arial"/>
        </w:rPr>
        <w:t>que intervengan en las</w:t>
      </w:r>
      <w:r w:rsidR="004A2DF3" w:rsidRPr="00D966DA">
        <w:rPr>
          <w:rFonts w:ascii="Arial" w:hAnsi="Arial" w:cs="Arial"/>
        </w:rPr>
        <w:t xml:space="preserve"> contrataciones</w:t>
      </w:r>
      <w:r w:rsidR="009C6D0D">
        <w:rPr>
          <w:rFonts w:ascii="Arial" w:hAnsi="Arial" w:cs="Arial"/>
        </w:rPr>
        <w:t xml:space="preserve"> públicas, </w:t>
      </w:r>
      <w:r w:rsidR="004A2DF3">
        <w:rPr>
          <w:rFonts w:ascii="Arial" w:hAnsi="Arial" w:cs="Arial"/>
        </w:rPr>
        <w:t>el otorgamiento de</w:t>
      </w:r>
      <w:r w:rsidR="004A2DF3" w:rsidRPr="00D966DA">
        <w:rPr>
          <w:rFonts w:ascii="Arial" w:hAnsi="Arial" w:cs="Arial"/>
        </w:rPr>
        <w:t xml:space="preserve"> licencias, permisos</w:t>
      </w:r>
      <w:r w:rsidR="004A2DF3">
        <w:rPr>
          <w:rFonts w:ascii="Arial" w:hAnsi="Arial" w:cs="Arial"/>
        </w:rPr>
        <w:t xml:space="preserve">, concesiones y autorizaciones, así como </w:t>
      </w:r>
      <w:r w:rsidR="00D9363B">
        <w:rPr>
          <w:rFonts w:ascii="Arial" w:hAnsi="Arial" w:cs="Arial"/>
        </w:rPr>
        <w:t xml:space="preserve">en </w:t>
      </w:r>
      <w:r w:rsidR="004A2DF3">
        <w:rPr>
          <w:rFonts w:ascii="Arial" w:hAnsi="Arial" w:cs="Arial"/>
        </w:rPr>
        <w:t xml:space="preserve">la </w:t>
      </w:r>
      <w:r w:rsidR="004A2DF3" w:rsidRPr="00D966DA">
        <w:rPr>
          <w:rFonts w:ascii="Arial" w:hAnsi="Arial" w:cs="Arial"/>
        </w:rPr>
        <w:t xml:space="preserve">enajenación de bienes muebles </w:t>
      </w:r>
      <w:r w:rsidR="004A2DF3">
        <w:rPr>
          <w:rFonts w:ascii="Arial" w:hAnsi="Arial" w:cs="Arial"/>
        </w:rPr>
        <w:t xml:space="preserve">de la </w:t>
      </w:r>
      <w:r w:rsidR="001F3D9A">
        <w:rPr>
          <w:rFonts w:ascii="Arial" w:hAnsi="Arial" w:cs="Arial"/>
        </w:rPr>
        <w:t xml:space="preserve">administración pública federal y </w:t>
      </w:r>
      <w:r w:rsidR="00D9363B">
        <w:rPr>
          <w:rFonts w:ascii="Arial" w:hAnsi="Arial" w:cs="Arial"/>
        </w:rPr>
        <w:t xml:space="preserve">en la </w:t>
      </w:r>
      <w:r w:rsidR="009C6D0D">
        <w:rPr>
          <w:rFonts w:ascii="Arial" w:hAnsi="Arial" w:cs="Arial"/>
        </w:rPr>
        <w:t>asignación y emisión de dictámenes en materia de avalúos y justipreciación de rentas</w:t>
      </w:r>
      <w:r w:rsidR="006B1543">
        <w:rPr>
          <w:rFonts w:ascii="Arial" w:hAnsi="Arial" w:cs="Arial"/>
        </w:rPr>
        <w:t xml:space="preserve"> competencia del INDAABIN</w:t>
      </w:r>
      <w:r w:rsidR="004F31FA">
        <w:rPr>
          <w:rFonts w:ascii="Arial" w:hAnsi="Arial" w:cs="Arial"/>
        </w:rPr>
        <w:t xml:space="preserve">. </w:t>
      </w:r>
    </w:p>
    <w:p w:rsidR="00CF10ED" w:rsidRPr="00D966DA" w:rsidRDefault="004F31FA" w:rsidP="00CF1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="004A2DF3">
        <w:rPr>
          <w:rFonts w:ascii="Arial" w:hAnsi="Arial" w:cs="Arial"/>
        </w:rPr>
        <w:t>clasificación</w:t>
      </w:r>
      <w:r>
        <w:rPr>
          <w:rFonts w:ascii="Arial" w:hAnsi="Arial" w:cs="Arial"/>
        </w:rPr>
        <w:t xml:space="preserve"> e identificación de </w:t>
      </w:r>
      <w:r w:rsidR="009C6D0D">
        <w:rPr>
          <w:rFonts w:ascii="Arial" w:hAnsi="Arial" w:cs="Arial"/>
        </w:rPr>
        <w:t xml:space="preserve">servidores públicos </w:t>
      </w:r>
      <w:r>
        <w:rPr>
          <w:rFonts w:ascii="Arial" w:hAnsi="Arial" w:cs="Arial"/>
        </w:rPr>
        <w:t>es independiente de:</w:t>
      </w:r>
    </w:p>
    <w:p w:rsidR="00CF10ED" w:rsidRPr="00D966DA" w:rsidRDefault="00CF10ED" w:rsidP="000638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966DA">
        <w:rPr>
          <w:rFonts w:ascii="Arial" w:hAnsi="Arial" w:cs="Arial"/>
        </w:rPr>
        <w:t xml:space="preserve">Su nivel jerárquico y puesto; </w:t>
      </w:r>
    </w:p>
    <w:p w:rsidR="00CF10ED" w:rsidRPr="00D966DA" w:rsidRDefault="00BC57CC" w:rsidP="000638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 se trate de</w:t>
      </w:r>
      <w:r w:rsidR="00CF10ED" w:rsidRPr="00D966DA">
        <w:rPr>
          <w:rFonts w:ascii="Arial" w:hAnsi="Arial" w:cs="Arial"/>
        </w:rPr>
        <w:t xml:space="preserve"> personal sindicalizado o de confianza;</w:t>
      </w:r>
    </w:p>
    <w:p w:rsidR="00CF10ED" w:rsidRPr="00D966DA" w:rsidRDefault="00BC57CC" w:rsidP="000638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Estar</w:t>
      </w:r>
      <w:r w:rsidR="001F3D9A">
        <w:rPr>
          <w:rFonts w:ascii="Arial" w:hAnsi="Arial" w:cs="Arial"/>
        </w:rPr>
        <w:t xml:space="preserve"> sujeto al Servicio P</w:t>
      </w:r>
      <w:r w:rsidR="004F31FA">
        <w:rPr>
          <w:rFonts w:ascii="Arial" w:hAnsi="Arial" w:cs="Arial"/>
        </w:rPr>
        <w:t>rofesional de C</w:t>
      </w:r>
      <w:r w:rsidR="005838E0">
        <w:rPr>
          <w:rFonts w:ascii="Arial" w:hAnsi="Arial" w:cs="Arial"/>
        </w:rPr>
        <w:t>arrera o ser</w:t>
      </w:r>
      <w:r w:rsidR="00CF10ED" w:rsidRPr="00D966DA">
        <w:rPr>
          <w:rFonts w:ascii="Arial" w:hAnsi="Arial" w:cs="Arial"/>
        </w:rPr>
        <w:t xml:space="preserve"> de designación directa, libre desi</w:t>
      </w:r>
      <w:r w:rsidR="004F31FA">
        <w:rPr>
          <w:rFonts w:ascii="Arial" w:hAnsi="Arial" w:cs="Arial"/>
        </w:rPr>
        <w:t>gnación o de gabinetes de apoyo o cualquier otra modalidad de selección en el proceso de ingreso;</w:t>
      </w:r>
    </w:p>
    <w:p w:rsidR="00CF10ED" w:rsidRDefault="00CF10ED" w:rsidP="000638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966DA">
        <w:rPr>
          <w:rFonts w:ascii="Arial" w:hAnsi="Arial" w:cs="Arial"/>
        </w:rPr>
        <w:t>Que su contratación tenga el carácter de eventual.</w:t>
      </w:r>
    </w:p>
    <w:p w:rsidR="004D675F" w:rsidRDefault="004D675F" w:rsidP="004D6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se deberán de identificar</w:t>
      </w:r>
      <w:r w:rsidR="005838E0">
        <w:rPr>
          <w:rFonts w:ascii="Arial" w:hAnsi="Arial" w:cs="Arial"/>
        </w:rPr>
        <w:t xml:space="preserve"> y clasificar</w:t>
      </w:r>
      <w:r>
        <w:rPr>
          <w:rFonts w:ascii="Arial" w:hAnsi="Arial" w:cs="Arial"/>
        </w:rPr>
        <w:t xml:space="preserve"> aquellas personas </w:t>
      </w:r>
      <w:r w:rsidR="00785374">
        <w:rPr>
          <w:rFonts w:ascii="Arial" w:hAnsi="Arial" w:cs="Arial"/>
        </w:rPr>
        <w:t xml:space="preserve">físicas </w:t>
      </w:r>
      <w:r>
        <w:rPr>
          <w:rFonts w:ascii="Arial" w:hAnsi="Arial" w:cs="Arial"/>
        </w:rPr>
        <w:t>que estén contratadas bajo el régimen de servicios profesionales por honorarios</w:t>
      </w:r>
      <w:r w:rsidR="004A3486">
        <w:rPr>
          <w:rFonts w:ascii="Arial" w:hAnsi="Arial" w:cs="Arial"/>
        </w:rPr>
        <w:t>,</w:t>
      </w:r>
      <w:r w:rsidR="00477ABF">
        <w:rPr>
          <w:rFonts w:ascii="Arial" w:hAnsi="Arial" w:cs="Arial"/>
        </w:rPr>
        <w:t xml:space="preserve"> con cargo </w:t>
      </w:r>
      <w:r w:rsidR="00785374">
        <w:rPr>
          <w:rFonts w:ascii="Arial" w:hAnsi="Arial" w:cs="Arial"/>
        </w:rPr>
        <w:t>al presupuesto de servicios personales</w:t>
      </w:r>
      <w:r w:rsidR="00477ABF">
        <w:rPr>
          <w:rFonts w:ascii="Arial" w:hAnsi="Arial" w:cs="Arial"/>
        </w:rPr>
        <w:t xml:space="preserve"> </w:t>
      </w:r>
      <w:r w:rsidR="00703376">
        <w:rPr>
          <w:rFonts w:ascii="Arial" w:hAnsi="Arial" w:cs="Arial"/>
        </w:rPr>
        <w:t>y que realicen alguna de las actividades previstas en los catálogos.</w:t>
      </w:r>
    </w:p>
    <w:p w:rsidR="00340E89" w:rsidRDefault="00340E89" w:rsidP="004D675F">
      <w:pPr>
        <w:jc w:val="both"/>
        <w:rPr>
          <w:rFonts w:ascii="Arial" w:hAnsi="Arial" w:cs="Arial"/>
        </w:rPr>
      </w:pPr>
    </w:p>
    <w:p w:rsidR="00340E89" w:rsidRPr="004D675F" w:rsidRDefault="00340E89" w:rsidP="004D675F">
      <w:pPr>
        <w:jc w:val="both"/>
        <w:rPr>
          <w:rFonts w:ascii="Arial" w:hAnsi="Arial" w:cs="Arial"/>
        </w:rPr>
      </w:pPr>
    </w:p>
    <w:p w:rsidR="003C17CF" w:rsidRDefault="003C17CF" w:rsidP="003C17CF">
      <w:pPr>
        <w:jc w:val="both"/>
        <w:rPr>
          <w:rFonts w:ascii="Arial" w:hAnsi="Arial" w:cs="Arial"/>
        </w:rPr>
      </w:pPr>
      <w:r w:rsidRPr="003C17CF">
        <w:rPr>
          <w:rFonts w:ascii="Arial" w:hAnsi="Arial" w:cs="Arial"/>
        </w:rPr>
        <w:t>Para el caso de contrataciones en materia de adquisiciones, arrendamientos</w:t>
      </w:r>
      <w:r>
        <w:rPr>
          <w:rFonts w:ascii="Arial" w:hAnsi="Arial" w:cs="Arial"/>
        </w:rPr>
        <w:t xml:space="preserve"> y</w:t>
      </w:r>
      <w:r w:rsidRPr="003C17CF">
        <w:rPr>
          <w:rFonts w:ascii="Arial" w:hAnsi="Arial" w:cs="Arial"/>
        </w:rPr>
        <w:t xml:space="preserve"> servicios, </w:t>
      </w:r>
      <w:r>
        <w:rPr>
          <w:rFonts w:ascii="Arial" w:hAnsi="Arial" w:cs="Arial"/>
        </w:rPr>
        <w:t xml:space="preserve">se deberá identificar si el servidor público está adscrito al área contratante, requirente o técnica, y tratándose de </w:t>
      </w:r>
      <w:r w:rsidRPr="003C17CF">
        <w:rPr>
          <w:rFonts w:ascii="Arial" w:hAnsi="Arial" w:cs="Arial"/>
        </w:rPr>
        <w:t>obras públicas y servici</w:t>
      </w:r>
      <w:r>
        <w:rPr>
          <w:rFonts w:ascii="Arial" w:hAnsi="Arial" w:cs="Arial"/>
        </w:rPr>
        <w:t>os relacionados con las mismas se deberá identificar si el servidor público está adscrito al área responsable de la contratación, requirente, técnica o al área responsable de la ejecución de los trabajos.</w:t>
      </w:r>
    </w:p>
    <w:p w:rsidR="00CF10ED" w:rsidRPr="00CE0984" w:rsidRDefault="00CF10ED" w:rsidP="00CF10ED">
      <w:pPr>
        <w:jc w:val="both"/>
        <w:rPr>
          <w:rFonts w:ascii="Arial" w:hAnsi="Arial" w:cs="Arial"/>
          <w:sz w:val="6"/>
          <w:szCs w:val="6"/>
        </w:rPr>
      </w:pPr>
    </w:p>
    <w:p w:rsidR="00CF10ED" w:rsidRDefault="00D924ED" w:rsidP="002842FD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Identificación</w:t>
      </w:r>
      <w:r w:rsidR="007A7019">
        <w:rPr>
          <w:rFonts w:ascii="Arial" w:hAnsi="Arial" w:cs="Arial"/>
          <w:b/>
        </w:rPr>
        <w:t xml:space="preserve"> y clasificación</w:t>
      </w:r>
      <w:r>
        <w:rPr>
          <w:rFonts w:ascii="Arial" w:hAnsi="Arial" w:cs="Arial"/>
          <w:b/>
        </w:rPr>
        <w:t xml:space="preserve"> de l</w:t>
      </w:r>
      <w:r w:rsidR="00CF10ED" w:rsidRPr="00D966DA">
        <w:rPr>
          <w:rFonts w:ascii="Arial" w:hAnsi="Arial" w:cs="Arial"/>
          <w:b/>
        </w:rPr>
        <w:t>a participación de los servidores público</w:t>
      </w:r>
      <w:r w:rsidR="007A7019">
        <w:rPr>
          <w:rFonts w:ascii="Arial" w:hAnsi="Arial" w:cs="Arial"/>
          <w:b/>
        </w:rPr>
        <w:t>s y su registro.</w:t>
      </w:r>
    </w:p>
    <w:p w:rsidR="00DA667F" w:rsidRDefault="00D924ED" w:rsidP="00D924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actividades </w:t>
      </w:r>
      <w:r w:rsidR="00DA667F">
        <w:rPr>
          <w:rFonts w:ascii="Arial" w:hAnsi="Arial" w:cs="Arial"/>
        </w:rPr>
        <w:t xml:space="preserve">previstas </w:t>
      </w:r>
      <w:r w:rsidR="00C04FEE">
        <w:rPr>
          <w:rFonts w:ascii="Arial" w:hAnsi="Arial" w:cs="Arial"/>
        </w:rPr>
        <w:t xml:space="preserve">en los niveles de responsabilidad de </w:t>
      </w:r>
      <w:r>
        <w:rPr>
          <w:rFonts w:ascii="Arial" w:hAnsi="Arial" w:cs="Arial"/>
        </w:rPr>
        <w:t>los catálogos</w:t>
      </w:r>
      <w:r w:rsidR="00DA667F">
        <w:rPr>
          <w:rFonts w:ascii="Arial" w:hAnsi="Arial" w:cs="Arial"/>
        </w:rPr>
        <w:t xml:space="preserve"> que realicen los servidores públicos</w:t>
      </w:r>
      <w:r>
        <w:rPr>
          <w:rFonts w:ascii="Arial" w:hAnsi="Arial" w:cs="Arial"/>
        </w:rPr>
        <w:t>, deberán identificarse con</w:t>
      </w:r>
      <w:r w:rsidR="00DA667F">
        <w:rPr>
          <w:rFonts w:ascii="Arial" w:hAnsi="Arial" w:cs="Arial"/>
        </w:rPr>
        <w:t>siderando lo siguiente:</w:t>
      </w:r>
    </w:p>
    <w:p w:rsidR="00CF10ED" w:rsidRPr="00DA667F" w:rsidRDefault="00DA667F" w:rsidP="00DA667F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924ED" w:rsidRPr="00DA667F">
        <w:rPr>
          <w:rFonts w:ascii="Arial" w:hAnsi="Arial" w:cs="Arial"/>
        </w:rPr>
        <w:t xml:space="preserve">as </w:t>
      </w:r>
      <w:r w:rsidR="00CF10ED" w:rsidRPr="00DA667F">
        <w:rPr>
          <w:rFonts w:ascii="Arial" w:hAnsi="Arial" w:cs="Arial"/>
        </w:rPr>
        <w:t>disp</w:t>
      </w:r>
      <w:r w:rsidR="00D924ED" w:rsidRPr="00DA667F">
        <w:rPr>
          <w:rFonts w:ascii="Arial" w:hAnsi="Arial" w:cs="Arial"/>
        </w:rPr>
        <w:t>osiciones jurídicas aplicables en las materias objeto de dichos catálogos, tales como</w:t>
      </w:r>
      <w:r w:rsidR="00CF10ED" w:rsidRPr="00DA667F">
        <w:rPr>
          <w:rFonts w:ascii="Arial" w:hAnsi="Arial" w:cs="Arial"/>
        </w:rPr>
        <w:t xml:space="preserve"> la LAASSP, la LOPSRM, la LAPP</w:t>
      </w:r>
      <w:r w:rsidR="00D924ED" w:rsidRPr="00DA667F">
        <w:rPr>
          <w:rFonts w:ascii="Arial" w:hAnsi="Arial" w:cs="Arial"/>
        </w:rPr>
        <w:t>, la LGBN</w:t>
      </w:r>
      <w:r w:rsidR="00F87BBF" w:rsidRPr="00DA667F">
        <w:rPr>
          <w:rFonts w:ascii="Arial" w:hAnsi="Arial" w:cs="Arial"/>
        </w:rPr>
        <w:t xml:space="preserve"> y demás leyes</w:t>
      </w:r>
      <w:r w:rsidR="00D924ED" w:rsidRPr="00DA667F">
        <w:rPr>
          <w:rFonts w:ascii="Arial" w:hAnsi="Arial" w:cs="Arial"/>
        </w:rPr>
        <w:t xml:space="preserve"> especiales</w:t>
      </w:r>
      <w:r w:rsidR="00CF10ED" w:rsidRPr="00DA667F">
        <w:rPr>
          <w:rFonts w:ascii="Arial" w:hAnsi="Arial" w:cs="Arial"/>
        </w:rPr>
        <w:t xml:space="preserve">, sus reglamentos y manuales administrativos correspondientes, los reglamentos interiores, estatutos orgánicos, </w:t>
      </w:r>
      <w:r w:rsidR="00D924ED" w:rsidRPr="00DA667F">
        <w:rPr>
          <w:rFonts w:ascii="Arial" w:hAnsi="Arial" w:cs="Arial"/>
        </w:rPr>
        <w:t xml:space="preserve">normas generales, </w:t>
      </w:r>
      <w:r w:rsidR="00CF10ED" w:rsidRPr="00DA667F">
        <w:rPr>
          <w:rFonts w:ascii="Arial" w:hAnsi="Arial" w:cs="Arial"/>
        </w:rPr>
        <w:t>manuales de organización y procedimientos, así como en las políticas, bases y lineamientos en materia de adquisiciones, arrendamientos y servicios y de obras públicas y servicios relacionados con las mismas</w:t>
      </w:r>
      <w:r w:rsidR="00206812">
        <w:rPr>
          <w:rFonts w:ascii="Arial" w:hAnsi="Arial" w:cs="Arial"/>
        </w:rPr>
        <w:t xml:space="preserve"> (POBALINES).</w:t>
      </w:r>
      <w:r w:rsidR="00CF10ED" w:rsidRPr="00DA667F">
        <w:rPr>
          <w:rFonts w:ascii="Arial" w:hAnsi="Arial" w:cs="Arial"/>
        </w:rPr>
        <w:t xml:space="preserve">  </w:t>
      </w:r>
    </w:p>
    <w:p w:rsidR="004F31FA" w:rsidRPr="00A57335" w:rsidRDefault="00CF10ED" w:rsidP="00A57335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DA667F">
        <w:rPr>
          <w:rFonts w:ascii="Arial" w:hAnsi="Arial" w:cs="Arial"/>
        </w:rPr>
        <w:t>De acuerdo con la intervención de los servidores públicos en</w:t>
      </w:r>
      <w:r w:rsidR="00DA667F">
        <w:rPr>
          <w:rFonts w:ascii="Arial" w:hAnsi="Arial" w:cs="Arial"/>
        </w:rPr>
        <w:t xml:space="preserve"> las actividades indicadas en los c</w:t>
      </w:r>
      <w:r w:rsidRPr="00DA667F">
        <w:rPr>
          <w:rFonts w:ascii="Arial" w:hAnsi="Arial" w:cs="Arial"/>
        </w:rPr>
        <w:t>atálogo</w:t>
      </w:r>
      <w:r w:rsidR="00DA667F">
        <w:rPr>
          <w:rFonts w:ascii="Arial" w:hAnsi="Arial" w:cs="Arial"/>
        </w:rPr>
        <w:t>s</w:t>
      </w:r>
      <w:r w:rsidR="004F31FA" w:rsidRPr="00DA667F">
        <w:rPr>
          <w:rFonts w:ascii="Arial" w:hAnsi="Arial" w:cs="Arial"/>
        </w:rPr>
        <w:t xml:space="preserve"> correspondiente</w:t>
      </w:r>
      <w:r w:rsidR="00DA667F">
        <w:rPr>
          <w:rFonts w:ascii="Arial" w:hAnsi="Arial" w:cs="Arial"/>
        </w:rPr>
        <w:t>s</w:t>
      </w:r>
      <w:r w:rsidRPr="00DA667F">
        <w:rPr>
          <w:rFonts w:ascii="Arial" w:hAnsi="Arial" w:cs="Arial"/>
        </w:rPr>
        <w:t>, aun cuando dicha intervención no se recoja en las disposiciones señaladas en el párrafo precedente.</w:t>
      </w:r>
    </w:p>
    <w:p w:rsidR="00A02813" w:rsidRDefault="00D2734C" w:rsidP="004F3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F31FA">
        <w:rPr>
          <w:rFonts w:ascii="Arial" w:hAnsi="Arial" w:cs="Arial"/>
        </w:rPr>
        <w:t xml:space="preserve">os oficiales mayores </w:t>
      </w:r>
      <w:r>
        <w:rPr>
          <w:rFonts w:ascii="Arial" w:hAnsi="Arial" w:cs="Arial"/>
        </w:rPr>
        <w:t xml:space="preserve">o equivalentes de las </w:t>
      </w:r>
      <w:r w:rsidR="007A7019">
        <w:rPr>
          <w:rFonts w:ascii="Arial" w:hAnsi="Arial" w:cs="Arial"/>
        </w:rPr>
        <w:t>instituciones públicas</w:t>
      </w:r>
      <w:r w:rsidR="00A57335">
        <w:rPr>
          <w:rFonts w:ascii="Arial" w:hAnsi="Arial" w:cs="Arial"/>
        </w:rPr>
        <w:t xml:space="preserve"> coordinará</w:t>
      </w:r>
      <w:r>
        <w:rPr>
          <w:rFonts w:ascii="Arial" w:hAnsi="Arial" w:cs="Arial"/>
        </w:rPr>
        <w:t xml:space="preserve">n las acciones necesarias para realizar </w:t>
      </w:r>
      <w:r w:rsidR="004F31FA">
        <w:rPr>
          <w:rFonts w:ascii="Arial" w:hAnsi="Arial" w:cs="Arial"/>
        </w:rPr>
        <w:t xml:space="preserve">la identificación </w:t>
      </w:r>
      <w:r>
        <w:rPr>
          <w:rFonts w:ascii="Arial" w:hAnsi="Arial" w:cs="Arial"/>
        </w:rPr>
        <w:t xml:space="preserve">y clasificación de los niveles de responsabilidad </w:t>
      </w:r>
      <w:r w:rsidR="004F31FA">
        <w:rPr>
          <w:rFonts w:ascii="Arial" w:hAnsi="Arial" w:cs="Arial"/>
        </w:rPr>
        <w:t>de los servidores públicos, en términos de</w:t>
      </w:r>
      <w:r w:rsidR="00BD095C">
        <w:rPr>
          <w:rFonts w:ascii="Arial" w:hAnsi="Arial" w:cs="Arial"/>
        </w:rPr>
        <w:t xml:space="preserve"> esta guía y de los</w:t>
      </w:r>
      <w:r w:rsidR="004F31FA">
        <w:rPr>
          <w:rFonts w:ascii="Arial" w:hAnsi="Arial" w:cs="Arial"/>
        </w:rPr>
        <w:t xml:space="preserve"> catálogos que </w:t>
      </w:r>
      <w:r w:rsidR="00BD095C">
        <w:rPr>
          <w:rFonts w:ascii="Arial" w:hAnsi="Arial" w:cs="Arial"/>
        </w:rPr>
        <w:t>forman parte de la misma.</w:t>
      </w:r>
      <w:r w:rsidR="00777FF8">
        <w:rPr>
          <w:rFonts w:ascii="Arial" w:hAnsi="Arial" w:cs="Arial"/>
        </w:rPr>
        <w:t xml:space="preserve"> </w:t>
      </w:r>
    </w:p>
    <w:p w:rsidR="002C69ED" w:rsidRDefault="002C69ED" w:rsidP="002C6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áreas que resulten responsables de identificar y clasificar los niveles de responsabilidad de los servidores públicos en </w:t>
      </w:r>
      <w:r w:rsidR="007A7019">
        <w:rPr>
          <w:rFonts w:ascii="Arial" w:hAnsi="Arial" w:cs="Arial"/>
        </w:rPr>
        <w:t>las</w:t>
      </w:r>
      <w:r w:rsidR="007A7019" w:rsidRPr="00D966DA">
        <w:rPr>
          <w:rFonts w:ascii="Arial" w:hAnsi="Arial" w:cs="Arial"/>
        </w:rPr>
        <w:t xml:space="preserve"> contrataciones</w:t>
      </w:r>
      <w:r w:rsidR="007A7019">
        <w:rPr>
          <w:rFonts w:ascii="Arial" w:hAnsi="Arial" w:cs="Arial"/>
        </w:rPr>
        <w:t xml:space="preserve"> públicas, el otorgamiento de</w:t>
      </w:r>
      <w:r w:rsidR="007A7019" w:rsidRPr="00D966DA">
        <w:rPr>
          <w:rFonts w:ascii="Arial" w:hAnsi="Arial" w:cs="Arial"/>
        </w:rPr>
        <w:t xml:space="preserve"> licencias, permisos</w:t>
      </w:r>
      <w:r w:rsidR="007A7019">
        <w:rPr>
          <w:rFonts w:ascii="Arial" w:hAnsi="Arial" w:cs="Arial"/>
        </w:rPr>
        <w:t xml:space="preserve">, concesiones y autorizaciones, así como en la </w:t>
      </w:r>
      <w:r w:rsidR="007A7019" w:rsidRPr="00D966DA">
        <w:rPr>
          <w:rFonts w:ascii="Arial" w:hAnsi="Arial" w:cs="Arial"/>
        </w:rPr>
        <w:t xml:space="preserve">enajenación de bienes muebles </w:t>
      </w:r>
      <w:r w:rsidR="007A7019">
        <w:rPr>
          <w:rFonts w:ascii="Arial" w:hAnsi="Arial" w:cs="Arial"/>
        </w:rPr>
        <w:t>de la administración pública federal y en la asignación y emisión de dictámenes en materia de avalúos y justipreciación de rentas competencia del INDAABIN</w:t>
      </w:r>
      <w:r>
        <w:rPr>
          <w:rFonts w:ascii="Arial" w:hAnsi="Arial" w:cs="Arial"/>
        </w:rPr>
        <w:t>, deberán considerar lo siguiente para la integración de la información</w:t>
      </w:r>
      <w:r w:rsidR="00221D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C69ED" w:rsidRDefault="002C69ED" w:rsidP="002C69ED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C01F7B">
        <w:rPr>
          <w:rFonts w:ascii="Arial" w:hAnsi="Arial" w:cs="Arial"/>
        </w:rPr>
        <w:t>Tratándose de servidores públicos cuyas atribuciones</w:t>
      </w:r>
      <w:r>
        <w:rPr>
          <w:rFonts w:ascii="Arial" w:hAnsi="Arial" w:cs="Arial"/>
        </w:rPr>
        <w:t xml:space="preserve"> o funciones</w:t>
      </w:r>
      <w:r w:rsidRPr="00C01F7B">
        <w:rPr>
          <w:rFonts w:ascii="Arial" w:hAnsi="Arial" w:cs="Arial"/>
        </w:rPr>
        <w:t xml:space="preserve"> impliquen su participación </w:t>
      </w:r>
      <w:r>
        <w:rPr>
          <w:rFonts w:ascii="Arial" w:hAnsi="Arial" w:cs="Arial"/>
        </w:rPr>
        <w:t>en las materias señaladas, deberán ser identificados y clasificados permanentemente.</w:t>
      </w:r>
    </w:p>
    <w:p w:rsidR="002C69ED" w:rsidRPr="002C69ED" w:rsidRDefault="002C69ED" w:rsidP="002C69ED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servidores públicos que participen eventualmente en dichas materias, deberán ser identificados y clasificados</w:t>
      </w:r>
      <w:r w:rsidRPr="00A02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periodo al cual corresponda su participación.</w:t>
      </w:r>
    </w:p>
    <w:p w:rsidR="002C69ED" w:rsidRDefault="00221DE7" w:rsidP="002C6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áreas mencionadas enviarán la información integrada al </w:t>
      </w:r>
      <w:r w:rsidR="002C69ED">
        <w:rPr>
          <w:rFonts w:ascii="Arial" w:hAnsi="Arial" w:cs="Arial"/>
        </w:rPr>
        <w:t>operador RUSP</w:t>
      </w:r>
      <w:r>
        <w:rPr>
          <w:rFonts w:ascii="Arial" w:hAnsi="Arial" w:cs="Arial"/>
        </w:rPr>
        <w:t xml:space="preserve">, quien </w:t>
      </w:r>
      <w:r w:rsidR="0093250D" w:rsidRPr="00C01F7B">
        <w:rPr>
          <w:rFonts w:ascii="Arial" w:hAnsi="Arial" w:cs="Arial"/>
        </w:rPr>
        <w:t>utilizará</w:t>
      </w:r>
      <w:r w:rsidR="00932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="0093250D">
        <w:rPr>
          <w:rFonts w:ascii="Arial" w:hAnsi="Arial" w:cs="Arial"/>
        </w:rPr>
        <w:t>sistema</w:t>
      </w:r>
      <w:r w:rsidR="002C69ED" w:rsidRPr="00C01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RUSP para el registro y envío </w:t>
      </w:r>
      <w:r w:rsidR="0093250D">
        <w:rPr>
          <w:rFonts w:ascii="Arial" w:hAnsi="Arial" w:cs="Arial"/>
        </w:rPr>
        <w:t>de la i</w:t>
      </w:r>
      <w:r w:rsidR="002C69ED" w:rsidRPr="00C01F7B">
        <w:rPr>
          <w:rFonts w:ascii="Arial" w:hAnsi="Arial" w:cs="Arial"/>
        </w:rPr>
        <w:t>nformación, de conformidad con</w:t>
      </w:r>
      <w:r w:rsidR="0093250D">
        <w:rPr>
          <w:rFonts w:ascii="Arial" w:hAnsi="Arial" w:cs="Arial"/>
        </w:rPr>
        <w:t xml:space="preserve"> los procedimientos y</w:t>
      </w:r>
      <w:r w:rsidR="002C69ED" w:rsidRPr="00C01F7B">
        <w:rPr>
          <w:rFonts w:ascii="Arial" w:hAnsi="Arial" w:cs="Arial"/>
        </w:rPr>
        <w:t xml:space="preserve"> el calendario de envío y recepción emitido por la Unidad de Política de Recursos Humanos de la Administración Pública Federal (UPRHAPF).</w:t>
      </w:r>
    </w:p>
    <w:p w:rsidR="00340E89" w:rsidRDefault="00340E89" w:rsidP="002C69ED">
      <w:pPr>
        <w:jc w:val="both"/>
        <w:rPr>
          <w:rFonts w:ascii="Arial" w:hAnsi="Arial" w:cs="Arial"/>
        </w:rPr>
      </w:pPr>
    </w:p>
    <w:p w:rsidR="00340E89" w:rsidRPr="00C01F7B" w:rsidRDefault="00340E89" w:rsidP="002C69ED">
      <w:pPr>
        <w:jc w:val="both"/>
        <w:rPr>
          <w:rFonts w:ascii="Arial" w:hAnsi="Arial" w:cs="Arial"/>
        </w:rPr>
      </w:pPr>
    </w:p>
    <w:p w:rsidR="00CE0984" w:rsidRPr="00CE0984" w:rsidRDefault="00CE0984" w:rsidP="004F31FA">
      <w:pPr>
        <w:jc w:val="both"/>
        <w:rPr>
          <w:rFonts w:ascii="Arial" w:hAnsi="Arial" w:cs="Arial"/>
          <w:sz w:val="6"/>
          <w:szCs w:val="6"/>
        </w:rPr>
      </w:pPr>
    </w:p>
    <w:p w:rsidR="003F7AEE" w:rsidRDefault="00513667" w:rsidP="002842FD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D966DA">
        <w:rPr>
          <w:rFonts w:ascii="Arial" w:hAnsi="Arial" w:cs="Arial"/>
          <w:b/>
        </w:rPr>
        <w:lastRenderedPageBreak/>
        <w:t xml:space="preserve">Especificaciones </w:t>
      </w:r>
      <w:r w:rsidR="00376DD8">
        <w:rPr>
          <w:rFonts w:ascii="Arial" w:hAnsi="Arial" w:cs="Arial"/>
          <w:b/>
        </w:rPr>
        <w:t xml:space="preserve">para el </w:t>
      </w:r>
      <w:r w:rsidRPr="00D966DA">
        <w:rPr>
          <w:rFonts w:ascii="Arial" w:hAnsi="Arial" w:cs="Arial"/>
          <w:b/>
        </w:rPr>
        <w:t>llenad</w:t>
      </w:r>
      <w:r w:rsidR="004F31FA">
        <w:rPr>
          <w:rFonts w:ascii="Arial" w:hAnsi="Arial" w:cs="Arial"/>
          <w:b/>
        </w:rPr>
        <w:t xml:space="preserve">o de los campos en el </w:t>
      </w:r>
      <w:r w:rsidR="00376DD8">
        <w:rPr>
          <w:rFonts w:ascii="Arial" w:hAnsi="Arial" w:cs="Arial"/>
          <w:b/>
        </w:rPr>
        <w:t xml:space="preserve">sistema </w:t>
      </w:r>
      <w:r w:rsidR="004F31FA">
        <w:rPr>
          <w:rFonts w:ascii="Arial" w:hAnsi="Arial" w:cs="Arial"/>
          <w:b/>
        </w:rPr>
        <w:t>RUSP</w:t>
      </w:r>
      <w:r w:rsidR="00A57335">
        <w:rPr>
          <w:rFonts w:ascii="Arial" w:hAnsi="Arial" w:cs="Arial"/>
          <w:b/>
        </w:rPr>
        <w:t>.</w:t>
      </w:r>
    </w:p>
    <w:p w:rsidR="00A57335" w:rsidRPr="00D966DA" w:rsidRDefault="00A57335" w:rsidP="00A57335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A57335" w:rsidRDefault="009C02E8" w:rsidP="002842FD">
      <w:pPr>
        <w:pStyle w:val="Prrafodelista"/>
        <w:numPr>
          <w:ilvl w:val="1"/>
          <w:numId w:val="27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A57335">
        <w:rPr>
          <w:rFonts w:ascii="Arial" w:hAnsi="Arial" w:cs="Arial"/>
          <w:b/>
        </w:rPr>
        <w:t>ampo 4</w:t>
      </w:r>
      <w:r w:rsidR="0006409D">
        <w:rPr>
          <w:rFonts w:ascii="Arial" w:hAnsi="Arial" w:cs="Arial"/>
          <w:b/>
        </w:rPr>
        <w:t>3</w:t>
      </w:r>
      <w:r w:rsidR="00691380">
        <w:rPr>
          <w:rFonts w:ascii="Arial" w:hAnsi="Arial" w:cs="Arial"/>
          <w:b/>
        </w:rPr>
        <w:t xml:space="preserve">: </w:t>
      </w:r>
      <w:r w:rsidR="00CF7EF8">
        <w:rPr>
          <w:rFonts w:ascii="Arial" w:hAnsi="Arial" w:cs="Arial"/>
          <w:b/>
        </w:rPr>
        <w:t>Áreas.</w:t>
      </w:r>
    </w:p>
    <w:p w:rsidR="000F2412" w:rsidRDefault="000F2412" w:rsidP="000F2412">
      <w:pPr>
        <w:ind w:left="426"/>
        <w:jc w:val="both"/>
        <w:rPr>
          <w:rFonts w:ascii="Arial" w:hAnsi="Arial" w:cs="Arial"/>
        </w:rPr>
      </w:pPr>
      <w:r w:rsidRPr="00376DD8">
        <w:rPr>
          <w:rFonts w:ascii="Arial" w:hAnsi="Arial" w:cs="Arial"/>
        </w:rPr>
        <w:t>Para el caso de contrataciones en materia de adquisiciones, arrendamientos y servicios,</w:t>
      </w:r>
      <w:r>
        <w:rPr>
          <w:rFonts w:ascii="Arial" w:hAnsi="Arial" w:cs="Arial"/>
        </w:rPr>
        <w:t xml:space="preserve"> obras públicas y servicios relacionados con las mismas,</w:t>
      </w:r>
      <w:r w:rsidRPr="00376DD8">
        <w:rPr>
          <w:rFonts w:ascii="Arial" w:hAnsi="Arial" w:cs="Arial"/>
        </w:rPr>
        <w:t xml:space="preserve"> </w:t>
      </w:r>
      <w:r w:rsidR="00F96595">
        <w:rPr>
          <w:rFonts w:ascii="Arial" w:hAnsi="Arial" w:cs="Arial"/>
        </w:rPr>
        <w:t xml:space="preserve">a que se refiere el catálogo de contrataciones públicas (Anexo 1), </w:t>
      </w:r>
      <w:r>
        <w:rPr>
          <w:rFonts w:ascii="Arial" w:hAnsi="Arial" w:cs="Arial"/>
        </w:rPr>
        <w:t xml:space="preserve">se </w:t>
      </w:r>
      <w:r w:rsidRPr="00376DD8">
        <w:rPr>
          <w:rFonts w:ascii="Arial" w:hAnsi="Arial" w:cs="Arial"/>
        </w:rPr>
        <w:t xml:space="preserve">deberá </w:t>
      </w:r>
      <w:r>
        <w:rPr>
          <w:rFonts w:ascii="Arial" w:hAnsi="Arial" w:cs="Arial"/>
        </w:rPr>
        <w:t>elegir el área en la cual se encuentra adscrito el servidor público que realiza la actividad “objeto de la responsabilidad”</w:t>
      </w:r>
      <w:r w:rsidR="008D4029">
        <w:rPr>
          <w:rFonts w:ascii="Arial" w:hAnsi="Arial" w:cs="Arial"/>
        </w:rPr>
        <w:t>,</w:t>
      </w:r>
      <w:r w:rsidR="00F96595" w:rsidRPr="00F96595">
        <w:rPr>
          <w:rFonts w:ascii="Arial" w:hAnsi="Arial" w:cs="Arial"/>
        </w:rPr>
        <w:t xml:space="preserve"> </w:t>
      </w:r>
      <w:r w:rsidR="00F96595">
        <w:rPr>
          <w:rFonts w:ascii="Arial" w:hAnsi="Arial" w:cs="Arial"/>
        </w:rPr>
        <w:t>conforme a lo siguiente:</w:t>
      </w:r>
    </w:p>
    <w:tbl>
      <w:tblPr>
        <w:tblStyle w:val="Tablaconcuadrcula"/>
        <w:tblW w:w="0" w:type="auto"/>
        <w:tblInd w:w="2717" w:type="dxa"/>
        <w:tblLook w:val="04A0" w:firstRow="1" w:lastRow="0" w:firstColumn="1" w:lastColumn="0" w:noHBand="0" w:noVBand="1"/>
      </w:tblPr>
      <w:tblGrid>
        <w:gridCol w:w="1984"/>
        <w:gridCol w:w="2552"/>
      </w:tblGrid>
      <w:tr w:rsidR="00F96595" w:rsidRPr="00691380" w:rsidTr="00F96595">
        <w:tc>
          <w:tcPr>
            <w:tcW w:w="4536" w:type="dxa"/>
            <w:gridSpan w:val="2"/>
            <w:shd w:val="clear" w:color="auto" w:fill="BFBFBF" w:themeFill="background1" w:themeFillShade="BF"/>
          </w:tcPr>
          <w:p w:rsidR="00F96595" w:rsidRPr="00691380" w:rsidRDefault="00F96595" w:rsidP="000F24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Catálogo por tipo de área</w:t>
            </w:r>
          </w:p>
        </w:tc>
      </w:tr>
      <w:tr w:rsidR="000F2412" w:rsidRPr="00691380" w:rsidTr="000F2412">
        <w:tc>
          <w:tcPr>
            <w:tcW w:w="1984" w:type="dxa"/>
            <w:shd w:val="clear" w:color="auto" w:fill="BFBFBF" w:themeFill="background1" w:themeFillShade="BF"/>
          </w:tcPr>
          <w:p w:rsidR="000F2412" w:rsidRPr="00691380" w:rsidRDefault="000F2412" w:rsidP="000F24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91380">
              <w:rPr>
                <w:rFonts w:asciiTheme="majorHAnsi" w:hAnsiTheme="majorHAnsi" w:cs="Arial"/>
                <w:b/>
                <w:sz w:val="20"/>
                <w:szCs w:val="20"/>
              </w:rPr>
              <w:t>Identificador del área</w:t>
            </w:r>
            <w:r w:rsidRPr="0069138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F2412" w:rsidRPr="00691380" w:rsidRDefault="000F2412" w:rsidP="000F24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91380">
              <w:rPr>
                <w:rFonts w:asciiTheme="majorHAnsi" w:hAnsiTheme="majorHAnsi" w:cs="Arial"/>
                <w:b/>
                <w:sz w:val="20"/>
                <w:szCs w:val="20"/>
              </w:rPr>
              <w:t>Tipo de área</w:t>
            </w:r>
          </w:p>
        </w:tc>
      </w:tr>
      <w:tr w:rsidR="000F2412" w:rsidRPr="00691380" w:rsidTr="000F2412">
        <w:tc>
          <w:tcPr>
            <w:tcW w:w="1984" w:type="dxa"/>
          </w:tcPr>
          <w:p w:rsidR="000F2412" w:rsidRPr="00691380" w:rsidRDefault="000F2412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9138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F2412" w:rsidRPr="00691380" w:rsidRDefault="000F2412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91380">
              <w:rPr>
                <w:rFonts w:asciiTheme="majorHAnsi" w:hAnsiTheme="majorHAnsi" w:cs="Arial"/>
                <w:sz w:val="20"/>
                <w:szCs w:val="20"/>
              </w:rPr>
              <w:t>Requirente</w:t>
            </w:r>
          </w:p>
        </w:tc>
      </w:tr>
      <w:tr w:rsidR="000F2412" w:rsidRPr="00691380" w:rsidTr="000F2412">
        <w:tc>
          <w:tcPr>
            <w:tcW w:w="1984" w:type="dxa"/>
          </w:tcPr>
          <w:p w:rsidR="000F2412" w:rsidRPr="00691380" w:rsidRDefault="000F2412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9138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F2412" w:rsidRPr="00691380" w:rsidRDefault="000F2412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91380">
              <w:rPr>
                <w:rFonts w:asciiTheme="majorHAnsi" w:hAnsiTheme="majorHAnsi" w:cs="Arial"/>
                <w:sz w:val="20"/>
                <w:szCs w:val="20"/>
              </w:rPr>
              <w:t>Contratante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(en materia de adquisiciones) o responsable de la contratación (en materia de obra pública)</w:t>
            </w:r>
          </w:p>
        </w:tc>
      </w:tr>
      <w:tr w:rsidR="000F2412" w:rsidRPr="00691380" w:rsidTr="000F2412">
        <w:tc>
          <w:tcPr>
            <w:tcW w:w="1984" w:type="dxa"/>
          </w:tcPr>
          <w:p w:rsidR="000F2412" w:rsidRPr="00691380" w:rsidRDefault="000F2412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9138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F2412" w:rsidRPr="00691380" w:rsidRDefault="000F2412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91380">
              <w:rPr>
                <w:rFonts w:asciiTheme="majorHAnsi" w:hAnsiTheme="majorHAnsi" w:cs="Arial"/>
                <w:sz w:val="20"/>
                <w:szCs w:val="20"/>
              </w:rPr>
              <w:t>Técnica</w:t>
            </w:r>
          </w:p>
        </w:tc>
      </w:tr>
      <w:tr w:rsidR="000F2412" w:rsidRPr="00691380" w:rsidTr="000F2412">
        <w:tc>
          <w:tcPr>
            <w:tcW w:w="1984" w:type="dxa"/>
          </w:tcPr>
          <w:p w:rsidR="000F2412" w:rsidRPr="00691380" w:rsidRDefault="000F2412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F2412" w:rsidRPr="00691380" w:rsidRDefault="000F2412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Responsable de la ejecución de los trabajos (en materia de obra pública)</w:t>
            </w:r>
          </w:p>
        </w:tc>
      </w:tr>
      <w:tr w:rsidR="008825C9" w:rsidRPr="00691380" w:rsidTr="000F2412">
        <w:tc>
          <w:tcPr>
            <w:tcW w:w="1984" w:type="dxa"/>
          </w:tcPr>
          <w:p w:rsidR="008825C9" w:rsidRDefault="008825C9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8825C9" w:rsidRDefault="00535C05" w:rsidP="000F241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Otro</w:t>
            </w:r>
          </w:p>
        </w:tc>
      </w:tr>
    </w:tbl>
    <w:p w:rsidR="000F2412" w:rsidRDefault="000F2412" w:rsidP="000F2412">
      <w:pPr>
        <w:ind w:left="426"/>
        <w:jc w:val="both"/>
        <w:rPr>
          <w:rFonts w:ascii="Arial" w:hAnsi="Arial" w:cs="Arial"/>
        </w:rPr>
      </w:pPr>
    </w:p>
    <w:p w:rsidR="000F2412" w:rsidRPr="00626014" w:rsidRDefault="000F2412" w:rsidP="000F2412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e</w:t>
      </w:r>
      <w:r w:rsidRPr="00626014">
        <w:rPr>
          <w:rFonts w:ascii="Arial" w:hAnsi="Arial" w:cs="Arial"/>
          <w:b/>
        </w:rPr>
        <w:t>jemplo de construcción del registro:</w:t>
      </w:r>
    </w:p>
    <w:p w:rsidR="000F2412" w:rsidRPr="008964A2" w:rsidRDefault="00560ACF" w:rsidP="000F241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Suponiendo</w:t>
      </w:r>
      <w:r w:rsidR="000F2412" w:rsidRPr="008964A2">
        <w:rPr>
          <w:rFonts w:ascii="Arial" w:hAnsi="Arial" w:cs="Arial"/>
        </w:rPr>
        <w:t xml:space="preserve"> que el servidor público Juan Pérez Hernández que labora en alguna institución </w:t>
      </w:r>
      <w:r w:rsidR="000F2412">
        <w:rPr>
          <w:rFonts w:ascii="Arial" w:hAnsi="Arial" w:cs="Arial"/>
        </w:rPr>
        <w:t>pública</w:t>
      </w:r>
      <w:r w:rsidR="000F2412" w:rsidRPr="008964A2">
        <w:rPr>
          <w:rFonts w:ascii="Arial" w:hAnsi="Arial" w:cs="Arial"/>
        </w:rPr>
        <w:t xml:space="preserve">, </w:t>
      </w:r>
      <w:r w:rsidR="000F2412">
        <w:rPr>
          <w:rFonts w:ascii="Arial" w:hAnsi="Arial" w:cs="Arial"/>
        </w:rPr>
        <w:t xml:space="preserve">se encuentra adscrito al área requirente; en tanto que Pedro López Juárez labora en un área que puede fungir como requirente y contratante de manera simultánea. </w:t>
      </w:r>
    </w:p>
    <w:p w:rsidR="000F2412" w:rsidRDefault="000F2412" w:rsidP="000F2412">
      <w:pPr>
        <w:ind w:left="426"/>
        <w:jc w:val="both"/>
        <w:rPr>
          <w:rFonts w:ascii="Arial" w:hAnsi="Arial" w:cs="Arial"/>
        </w:rPr>
      </w:pPr>
      <w:r w:rsidRPr="008964A2">
        <w:rPr>
          <w:rFonts w:ascii="Arial" w:hAnsi="Arial" w:cs="Arial"/>
        </w:rPr>
        <w:t>Dado lo anterior y utilizando el ca</w:t>
      </w:r>
      <w:r>
        <w:rPr>
          <w:rFonts w:ascii="Arial" w:hAnsi="Arial" w:cs="Arial"/>
        </w:rPr>
        <w:t>tá</w:t>
      </w:r>
      <w:r w:rsidRPr="008964A2">
        <w:rPr>
          <w:rFonts w:ascii="Arial" w:hAnsi="Arial" w:cs="Arial"/>
        </w:rPr>
        <w:t xml:space="preserve">logo </w:t>
      </w:r>
      <w:r w:rsidR="00F96595">
        <w:rPr>
          <w:rFonts w:ascii="Arial" w:hAnsi="Arial" w:cs="Arial"/>
        </w:rPr>
        <w:t>por tipo de área</w:t>
      </w:r>
      <w:r w:rsidRPr="008964A2">
        <w:rPr>
          <w:rFonts w:ascii="Arial" w:hAnsi="Arial" w:cs="Arial"/>
        </w:rPr>
        <w:t>, se puede apreciar que el llenado para este campo</w:t>
      </w:r>
      <w:r>
        <w:rPr>
          <w:rFonts w:ascii="Arial" w:hAnsi="Arial" w:cs="Arial"/>
        </w:rPr>
        <w:t>, debe ser</w:t>
      </w:r>
      <w:r w:rsidRPr="008964A2">
        <w:rPr>
          <w:rFonts w:ascii="Arial" w:hAnsi="Arial" w:cs="Arial"/>
        </w:rPr>
        <w:t xml:space="preserve"> como sigue:</w:t>
      </w:r>
    </w:p>
    <w:tbl>
      <w:tblPr>
        <w:tblW w:w="6840" w:type="dxa"/>
        <w:tblInd w:w="15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4"/>
        <w:gridCol w:w="1474"/>
        <w:gridCol w:w="1477"/>
        <w:gridCol w:w="2495"/>
      </w:tblGrid>
      <w:tr w:rsidR="000F2412" w:rsidRPr="008964A2" w:rsidTr="000F2412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Campo 43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Áreas</w:t>
            </w: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F2412" w:rsidRPr="008964A2" w:rsidTr="000F2412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sz w:val="16"/>
                <w:szCs w:val="16"/>
              </w:rPr>
              <w:t>JUAN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sz w:val="16"/>
                <w:szCs w:val="16"/>
              </w:rPr>
              <w:t>PEREZ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sz w:val="16"/>
                <w:szCs w:val="16"/>
              </w:rPr>
              <w:t>HERNANDEZ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0F2412" w:rsidRPr="008964A2" w:rsidTr="000F2412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LÓPEZ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JUÁREZ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2412" w:rsidRDefault="000F2412" w:rsidP="000F2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1, 2</w:t>
            </w:r>
          </w:p>
        </w:tc>
      </w:tr>
    </w:tbl>
    <w:p w:rsidR="000F2412" w:rsidRDefault="000F2412" w:rsidP="000F2412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0F2412" w:rsidRDefault="000F2412" w:rsidP="000F2412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0F2412" w:rsidRPr="00D966DA" w:rsidRDefault="000F2412" w:rsidP="000F2412">
      <w:pPr>
        <w:pStyle w:val="Prrafodelista"/>
        <w:numPr>
          <w:ilvl w:val="1"/>
          <w:numId w:val="27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D966DA">
        <w:rPr>
          <w:rFonts w:ascii="Arial" w:hAnsi="Arial" w:cs="Arial"/>
          <w:b/>
        </w:rPr>
        <w:t>ampo 4</w:t>
      </w:r>
      <w:r>
        <w:rPr>
          <w:rFonts w:ascii="Arial" w:hAnsi="Arial" w:cs="Arial"/>
          <w:b/>
        </w:rPr>
        <w:t xml:space="preserve">4: </w:t>
      </w:r>
      <w:r w:rsidRPr="00D966DA">
        <w:rPr>
          <w:rFonts w:ascii="Arial" w:hAnsi="Arial" w:cs="Arial"/>
          <w:b/>
        </w:rPr>
        <w:t>Contrataciones Pública</w:t>
      </w:r>
      <w:r>
        <w:rPr>
          <w:rFonts w:ascii="Arial" w:hAnsi="Arial" w:cs="Arial"/>
          <w:b/>
        </w:rPr>
        <w:t>s.</w:t>
      </w:r>
    </w:p>
    <w:p w:rsidR="000F2412" w:rsidRDefault="000F2412" w:rsidP="000F241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identificar el nivel</w:t>
      </w:r>
      <w:r w:rsidRPr="00D966D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responsabilidad de los </w:t>
      </w:r>
      <w:r w:rsidRPr="00D966DA">
        <w:rPr>
          <w:rFonts w:ascii="Arial" w:hAnsi="Arial" w:cs="Arial"/>
        </w:rPr>
        <w:t>servidores públicos</w:t>
      </w:r>
      <w:r>
        <w:rPr>
          <w:rFonts w:ascii="Arial" w:hAnsi="Arial" w:cs="Arial"/>
        </w:rPr>
        <w:t xml:space="preserve"> en función de su participación en los “objetos de responsabilidad” del catálogo de contrataciones públicas (Anexo 1)</w:t>
      </w:r>
      <w:r w:rsidRPr="00D966DA">
        <w:rPr>
          <w:rFonts w:ascii="Arial" w:hAnsi="Arial" w:cs="Arial"/>
        </w:rPr>
        <w:t>.</w:t>
      </w:r>
    </w:p>
    <w:p w:rsidR="000F2412" w:rsidRPr="00626014" w:rsidRDefault="000F2412" w:rsidP="000F2412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e</w:t>
      </w:r>
      <w:r w:rsidRPr="00626014">
        <w:rPr>
          <w:rFonts w:ascii="Arial" w:hAnsi="Arial" w:cs="Arial"/>
          <w:b/>
        </w:rPr>
        <w:t>jemplo de construcción</w:t>
      </w:r>
      <w:r w:rsidR="00CF7EF8">
        <w:rPr>
          <w:rFonts w:ascii="Arial" w:hAnsi="Arial" w:cs="Arial"/>
          <w:b/>
        </w:rPr>
        <w:t xml:space="preserve"> del registro</w:t>
      </w:r>
      <w:r w:rsidRPr="00626014">
        <w:rPr>
          <w:rFonts w:ascii="Arial" w:hAnsi="Arial" w:cs="Arial"/>
          <w:b/>
        </w:rPr>
        <w:t>:</w:t>
      </w:r>
    </w:p>
    <w:p w:rsidR="000F2412" w:rsidRPr="008964A2" w:rsidRDefault="00560ACF" w:rsidP="000F241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Suponiendo</w:t>
      </w:r>
      <w:r w:rsidR="000F2412" w:rsidRPr="008964A2">
        <w:rPr>
          <w:rFonts w:ascii="Arial" w:hAnsi="Arial" w:cs="Arial"/>
        </w:rPr>
        <w:t xml:space="preserve"> que el servidor público Juan Pérez Hernández que labora en alguna institución </w:t>
      </w:r>
      <w:r w:rsidR="000F2412">
        <w:rPr>
          <w:rFonts w:ascii="Arial" w:hAnsi="Arial" w:cs="Arial"/>
        </w:rPr>
        <w:t>pública</w:t>
      </w:r>
      <w:r w:rsidR="000F2412" w:rsidRPr="008964A2">
        <w:rPr>
          <w:rFonts w:ascii="Arial" w:hAnsi="Arial" w:cs="Arial"/>
        </w:rPr>
        <w:t>, tiene las siguientes responsabilidades dentro del catálogo de Contrataciones Públicas:</w:t>
      </w:r>
    </w:p>
    <w:p w:rsidR="000F2412" w:rsidRPr="008964A2" w:rsidRDefault="000F2412" w:rsidP="000F241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Supervisa </w:t>
      </w:r>
      <w:r>
        <w:rPr>
          <w:rFonts w:ascii="Arial" w:hAnsi="Arial" w:cs="Arial"/>
        </w:rPr>
        <w:t>la elaboración de convocatorias, invitaciones y solicitudes de cotización</w:t>
      </w:r>
    </w:p>
    <w:p w:rsidR="000F2412" w:rsidRPr="008964A2" w:rsidRDefault="000F2412" w:rsidP="000F241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944AF">
        <w:rPr>
          <w:rFonts w:ascii="Arial" w:hAnsi="Arial" w:cs="Arial"/>
          <w:b/>
        </w:rPr>
        <w:lastRenderedPageBreak/>
        <w:t>Elabora</w:t>
      </w:r>
      <w:r w:rsidRPr="00896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e</w:t>
      </w:r>
      <w:r w:rsidRPr="00544BA0">
        <w:rPr>
          <w:rFonts w:ascii="Arial" w:hAnsi="Arial" w:cs="Arial"/>
        </w:rPr>
        <w:t>valuaci</w:t>
      </w:r>
      <w:r>
        <w:rPr>
          <w:rFonts w:ascii="Arial" w:hAnsi="Arial" w:cs="Arial"/>
        </w:rPr>
        <w:t xml:space="preserve">ones de </w:t>
      </w:r>
      <w:r w:rsidRPr="00544BA0">
        <w:rPr>
          <w:rFonts w:ascii="Arial" w:hAnsi="Arial" w:cs="Arial"/>
        </w:rPr>
        <w:t>proposiciones</w:t>
      </w:r>
      <w:r>
        <w:rPr>
          <w:rFonts w:ascii="Arial" w:hAnsi="Arial" w:cs="Arial"/>
        </w:rPr>
        <w:t xml:space="preserve"> en licitaciones públicas e invitaciones a cuando menos 3 personas.</w:t>
      </w:r>
    </w:p>
    <w:p w:rsidR="000F2412" w:rsidRPr="008964A2" w:rsidRDefault="000F2412" w:rsidP="000F241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Suscribe</w:t>
      </w:r>
      <w:r w:rsidRPr="00896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notificaciones de a</w:t>
      </w:r>
      <w:r w:rsidRPr="005D57BE">
        <w:rPr>
          <w:rFonts w:ascii="Arial" w:hAnsi="Arial" w:cs="Arial"/>
        </w:rPr>
        <w:t>djudicación</w:t>
      </w:r>
      <w:r>
        <w:rPr>
          <w:rFonts w:ascii="Arial" w:hAnsi="Arial" w:cs="Arial"/>
        </w:rPr>
        <w:t xml:space="preserve"> directa de los</w:t>
      </w:r>
      <w:r w:rsidRPr="005D57BE">
        <w:rPr>
          <w:rFonts w:ascii="Arial" w:hAnsi="Arial" w:cs="Arial"/>
        </w:rPr>
        <w:t xml:space="preserve"> contrato</w:t>
      </w:r>
      <w:r>
        <w:rPr>
          <w:rFonts w:ascii="Arial" w:hAnsi="Arial" w:cs="Arial"/>
        </w:rPr>
        <w:t>s.</w:t>
      </w:r>
    </w:p>
    <w:p w:rsidR="000F2412" w:rsidRDefault="000F2412" w:rsidP="000F2412">
      <w:pPr>
        <w:ind w:left="426"/>
        <w:jc w:val="both"/>
        <w:rPr>
          <w:rFonts w:ascii="Arial" w:hAnsi="Arial" w:cs="Arial"/>
        </w:rPr>
      </w:pPr>
      <w:r w:rsidRPr="008964A2">
        <w:rPr>
          <w:rFonts w:ascii="Arial" w:hAnsi="Arial" w:cs="Arial"/>
        </w:rPr>
        <w:t>Dado lo anterior y utilizando el ca</w:t>
      </w:r>
      <w:r>
        <w:rPr>
          <w:rFonts w:ascii="Arial" w:hAnsi="Arial" w:cs="Arial"/>
        </w:rPr>
        <w:t>tá</w:t>
      </w:r>
      <w:r w:rsidRPr="008964A2">
        <w:rPr>
          <w:rFonts w:ascii="Arial" w:hAnsi="Arial" w:cs="Arial"/>
        </w:rPr>
        <w:t>logo correspondiente, se puede apreciar que el correcto llenado para este campo es como sigue:</w:t>
      </w:r>
    </w:p>
    <w:tbl>
      <w:tblPr>
        <w:tblW w:w="6840" w:type="dxa"/>
        <w:tblInd w:w="15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4"/>
        <w:gridCol w:w="1474"/>
        <w:gridCol w:w="1477"/>
        <w:gridCol w:w="2495"/>
      </w:tblGrid>
      <w:tr w:rsidR="000F2412" w:rsidRPr="008964A2" w:rsidTr="000F2412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Campo 44 (</w:t>
            </w: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Contrataciones Públicas)</w:t>
            </w:r>
          </w:p>
        </w:tc>
      </w:tr>
      <w:tr w:rsidR="000F2412" w:rsidRPr="008964A2" w:rsidTr="000F2412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sz w:val="16"/>
                <w:szCs w:val="16"/>
              </w:rPr>
              <w:t>JUAN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sz w:val="16"/>
                <w:szCs w:val="16"/>
              </w:rPr>
              <w:t>PEREZ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sz w:val="16"/>
                <w:szCs w:val="16"/>
              </w:rPr>
              <w:t>HERNANDEZ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D3,A4,E5</w:t>
            </w:r>
          </w:p>
        </w:tc>
      </w:tr>
    </w:tbl>
    <w:p w:rsidR="000F2412" w:rsidRPr="008964A2" w:rsidRDefault="000F2412" w:rsidP="000F2412">
      <w:pPr>
        <w:jc w:val="both"/>
        <w:rPr>
          <w:rFonts w:ascii="Arial" w:hAnsi="Arial" w:cs="Arial"/>
          <w:b/>
        </w:rPr>
      </w:pPr>
    </w:p>
    <w:p w:rsidR="000F2412" w:rsidRPr="00626014" w:rsidRDefault="000F2412" w:rsidP="000F2412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e</w:t>
      </w:r>
      <w:r w:rsidRPr="00626014">
        <w:rPr>
          <w:rFonts w:ascii="Arial" w:hAnsi="Arial" w:cs="Arial"/>
          <w:b/>
        </w:rPr>
        <w:t>jemplo de construcción del registro:</w:t>
      </w:r>
    </w:p>
    <w:p w:rsidR="000F2412" w:rsidRPr="008964A2" w:rsidRDefault="00560ACF" w:rsidP="000F241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Suponiendo</w:t>
      </w:r>
      <w:r w:rsidR="000F2412" w:rsidRPr="008964A2">
        <w:rPr>
          <w:rFonts w:ascii="Arial" w:hAnsi="Arial" w:cs="Arial"/>
        </w:rPr>
        <w:t xml:space="preserve"> que </w:t>
      </w:r>
      <w:r w:rsidR="00CA44BF">
        <w:rPr>
          <w:rFonts w:ascii="Arial" w:hAnsi="Arial" w:cs="Arial"/>
        </w:rPr>
        <w:t>el</w:t>
      </w:r>
      <w:r w:rsidR="000F2412" w:rsidRPr="008964A2">
        <w:rPr>
          <w:rFonts w:ascii="Arial" w:hAnsi="Arial" w:cs="Arial"/>
        </w:rPr>
        <w:t xml:space="preserve"> servidor públic</w:t>
      </w:r>
      <w:r w:rsidR="00CA44BF">
        <w:rPr>
          <w:rFonts w:ascii="Arial" w:hAnsi="Arial" w:cs="Arial"/>
        </w:rPr>
        <w:t>o</w:t>
      </w:r>
      <w:r w:rsidR="000F2412" w:rsidRPr="008964A2">
        <w:rPr>
          <w:rFonts w:ascii="Arial" w:hAnsi="Arial" w:cs="Arial"/>
        </w:rPr>
        <w:t xml:space="preserve"> </w:t>
      </w:r>
      <w:r w:rsidR="00CA44BF">
        <w:rPr>
          <w:rFonts w:ascii="Arial" w:hAnsi="Arial" w:cs="Arial"/>
        </w:rPr>
        <w:t>Pedro</w:t>
      </w:r>
      <w:r w:rsidR="000F2412">
        <w:rPr>
          <w:rFonts w:ascii="Arial" w:hAnsi="Arial" w:cs="Arial"/>
        </w:rPr>
        <w:t xml:space="preserve"> López</w:t>
      </w:r>
      <w:r w:rsidR="00CA44BF">
        <w:rPr>
          <w:rFonts w:ascii="Arial" w:hAnsi="Arial" w:cs="Arial"/>
        </w:rPr>
        <w:t xml:space="preserve"> Juárez</w:t>
      </w:r>
      <w:r w:rsidR="000F2412" w:rsidRPr="008964A2">
        <w:rPr>
          <w:rFonts w:ascii="Arial" w:hAnsi="Arial" w:cs="Arial"/>
        </w:rPr>
        <w:t xml:space="preserve"> que</w:t>
      </w:r>
      <w:r w:rsidR="000F2412">
        <w:rPr>
          <w:rFonts w:ascii="Arial" w:hAnsi="Arial" w:cs="Arial"/>
        </w:rPr>
        <w:t xml:space="preserve"> labora en alguna institución pública</w:t>
      </w:r>
      <w:r w:rsidR="000F2412" w:rsidRPr="008964A2">
        <w:rPr>
          <w:rFonts w:ascii="Arial" w:hAnsi="Arial" w:cs="Arial"/>
        </w:rPr>
        <w:t xml:space="preserve">, tiene las siguientes responsabilidades dentro </w:t>
      </w:r>
      <w:r w:rsidR="000F2412">
        <w:rPr>
          <w:rFonts w:ascii="Arial" w:hAnsi="Arial" w:cs="Arial"/>
        </w:rPr>
        <w:t xml:space="preserve">del catálogo de </w:t>
      </w:r>
      <w:r w:rsidR="000F2412" w:rsidRPr="008964A2">
        <w:rPr>
          <w:rFonts w:ascii="Arial" w:hAnsi="Arial" w:cs="Arial"/>
        </w:rPr>
        <w:t>Contrataciones Públicas:</w:t>
      </w:r>
    </w:p>
    <w:p w:rsidR="000F2412" w:rsidRPr="001B3457" w:rsidRDefault="000F2412" w:rsidP="000F241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B3457">
        <w:rPr>
          <w:rFonts w:ascii="Arial" w:hAnsi="Arial" w:cs="Arial"/>
          <w:b/>
        </w:rPr>
        <w:t>Elabora</w:t>
      </w:r>
      <w:r>
        <w:rPr>
          <w:rFonts w:ascii="Arial" w:hAnsi="Arial" w:cs="Arial"/>
        </w:rPr>
        <w:t xml:space="preserve"> las justificaciones</w:t>
      </w:r>
      <w:r w:rsidRPr="001B3457">
        <w:rPr>
          <w:rFonts w:ascii="Arial" w:hAnsi="Arial" w:cs="Arial"/>
        </w:rPr>
        <w:t xml:space="preserve"> para excepción a la licitación pública.</w:t>
      </w:r>
    </w:p>
    <w:p w:rsidR="000F2412" w:rsidRDefault="000F2412" w:rsidP="000F241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Dictamina</w:t>
      </w:r>
      <w:r w:rsidRPr="002E0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j</w:t>
      </w:r>
      <w:r w:rsidRPr="001B3457">
        <w:rPr>
          <w:rFonts w:ascii="Arial" w:hAnsi="Arial" w:cs="Arial"/>
        </w:rPr>
        <w:t>ustificaci</w:t>
      </w:r>
      <w:r>
        <w:rPr>
          <w:rFonts w:ascii="Arial" w:hAnsi="Arial" w:cs="Arial"/>
        </w:rPr>
        <w:t>o</w:t>
      </w:r>
      <w:r w:rsidRPr="001B3457">
        <w:rPr>
          <w:rFonts w:ascii="Arial" w:hAnsi="Arial" w:cs="Arial"/>
        </w:rPr>
        <w:t>n</w:t>
      </w:r>
      <w:r>
        <w:rPr>
          <w:rFonts w:ascii="Arial" w:hAnsi="Arial" w:cs="Arial"/>
        </w:rPr>
        <w:t>es</w:t>
      </w:r>
      <w:r w:rsidRPr="001B3457">
        <w:rPr>
          <w:rFonts w:ascii="Arial" w:hAnsi="Arial" w:cs="Arial"/>
        </w:rPr>
        <w:t xml:space="preserve"> para excepción a la licitación pública.</w:t>
      </w:r>
    </w:p>
    <w:p w:rsidR="000F2412" w:rsidRPr="002E0B8F" w:rsidRDefault="000F2412" w:rsidP="000F241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Suscribe </w:t>
      </w:r>
      <w:r>
        <w:rPr>
          <w:rFonts w:ascii="Arial" w:hAnsi="Arial" w:cs="Arial"/>
        </w:rPr>
        <w:t>los</w:t>
      </w:r>
      <w:r w:rsidRPr="001B3457">
        <w:rPr>
          <w:rFonts w:ascii="Arial" w:hAnsi="Arial" w:cs="Arial"/>
        </w:rPr>
        <w:t xml:space="preserve"> contrato</w:t>
      </w:r>
      <w:r>
        <w:rPr>
          <w:rFonts w:ascii="Arial" w:hAnsi="Arial" w:cs="Arial"/>
        </w:rPr>
        <w:t>s</w:t>
      </w:r>
      <w:r w:rsidRPr="001B3457">
        <w:rPr>
          <w:rFonts w:ascii="Arial" w:hAnsi="Arial" w:cs="Arial"/>
        </w:rPr>
        <w:t>.</w:t>
      </w:r>
      <w:r w:rsidRPr="002E0B8F">
        <w:rPr>
          <w:rFonts w:ascii="Arial" w:hAnsi="Arial" w:cs="Arial"/>
        </w:rPr>
        <w:t xml:space="preserve"> </w:t>
      </w:r>
    </w:p>
    <w:p w:rsidR="000F2412" w:rsidRDefault="000F2412" w:rsidP="000F2412">
      <w:pPr>
        <w:ind w:left="426"/>
        <w:jc w:val="both"/>
        <w:rPr>
          <w:rFonts w:ascii="Arial" w:hAnsi="Arial" w:cs="Arial"/>
        </w:rPr>
      </w:pPr>
      <w:r w:rsidRPr="008964A2">
        <w:rPr>
          <w:rFonts w:ascii="Arial" w:hAnsi="Arial" w:cs="Arial"/>
        </w:rPr>
        <w:t>Dado lo anterior y utilizando el ca</w:t>
      </w:r>
      <w:r>
        <w:rPr>
          <w:rFonts w:ascii="Arial" w:hAnsi="Arial" w:cs="Arial"/>
        </w:rPr>
        <w:t>tá</w:t>
      </w:r>
      <w:r w:rsidRPr="008964A2">
        <w:rPr>
          <w:rFonts w:ascii="Arial" w:hAnsi="Arial" w:cs="Arial"/>
        </w:rPr>
        <w:t>logo correspondiente, se puede apreciar que el llenado para este campo</w:t>
      </w:r>
      <w:r>
        <w:rPr>
          <w:rFonts w:ascii="Arial" w:hAnsi="Arial" w:cs="Arial"/>
        </w:rPr>
        <w:t>,</w:t>
      </w:r>
      <w:r w:rsidRPr="00896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debe ser </w:t>
      </w:r>
      <w:r w:rsidRPr="008964A2">
        <w:rPr>
          <w:rFonts w:ascii="Arial" w:hAnsi="Arial" w:cs="Arial"/>
        </w:rPr>
        <w:t>como sigue:</w:t>
      </w:r>
    </w:p>
    <w:tbl>
      <w:tblPr>
        <w:tblW w:w="6840" w:type="dxa"/>
        <w:tblInd w:w="15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4"/>
        <w:gridCol w:w="1474"/>
        <w:gridCol w:w="1477"/>
        <w:gridCol w:w="2495"/>
      </w:tblGrid>
      <w:tr w:rsidR="000F2412" w:rsidRPr="008964A2" w:rsidTr="000F2412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Campo 44 (</w:t>
            </w: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Contrataciones Públicas)</w:t>
            </w:r>
          </w:p>
        </w:tc>
      </w:tr>
      <w:tr w:rsidR="000F2412" w:rsidRPr="008964A2" w:rsidTr="000F2412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CA44BF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CA44BF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LÓPEZ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2412" w:rsidRPr="008964A2" w:rsidRDefault="00CA44BF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JUÁREZ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F2412" w:rsidRPr="008964A2" w:rsidRDefault="000F2412" w:rsidP="000F2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A2,C2,E6</w:t>
            </w:r>
          </w:p>
        </w:tc>
      </w:tr>
    </w:tbl>
    <w:p w:rsidR="000F2412" w:rsidRDefault="000F2412" w:rsidP="00626014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27762B" w:rsidRPr="00C43119" w:rsidRDefault="00691380" w:rsidP="002842FD">
      <w:pPr>
        <w:pStyle w:val="Prrafodelista"/>
        <w:numPr>
          <w:ilvl w:val="1"/>
          <w:numId w:val="27"/>
        </w:numPr>
        <w:ind w:left="426" w:hanging="426"/>
        <w:jc w:val="both"/>
        <w:rPr>
          <w:rFonts w:ascii="Arial" w:hAnsi="Arial" w:cs="Arial"/>
          <w:b/>
        </w:rPr>
      </w:pPr>
      <w:r w:rsidRPr="00C43119">
        <w:rPr>
          <w:rFonts w:ascii="Arial" w:hAnsi="Arial" w:cs="Arial"/>
          <w:b/>
        </w:rPr>
        <w:t>C</w:t>
      </w:r>
      <w:r w:rsidR="0027762B" w:rsidRPr="00C43119">
        <w:rPr>
          <w:rFonts w:ascii="Arial" w:hAnsi="Arial" w:cs="Arial"/>
          <w:b/>
        </w:rPr>
        <w:t>ampo 4</w:t>
      </w:r>
      <w:r w:rsidR="009E632F">
        <w:rPr>
          <w:rFonts w:ascii="Arial" w:hAnsi="Arial" w:cs="Arial"/>
          <w:b/>
        </w:rPr>
        <w:t>5</w:t>
      </w:r>
      <w:r w:rsidR="00895A1A" w:rsidRPr="00C43119">
        <w:rPr>
          <w:rFonts w:ascii="Arial" w:hAnsi="Arial" w:cs="Arial"/>
          <w:b/>
        </w:rPr>
        <w:t>:</w:t>
      </w:r>
      <w:r w:rsidR="0027762B" w:rsidRPr="00C43119">
        <w:rPr>
          <w:rFonts w:ascii="Arial" w:hAnsi="Arial" w:cs="Arial"/>
          <w:b/>
        </w:rPr>
        <w:t xml:space="preserve"> </w:t>
      </w:r>
      <w:r w:rsidR="001F20E9" w:rsidRPr="001F20E9">
        <w:rPr>
          <w:rFonts w:ascii="Arial" w:hAnsi="Arial" w:cs="Arial"/>
          <w:b/>
        </w:rPr>
        <w:t>Concesiones, licencias, permisos, autorizaciones y sus prórrogas</w:t>
      </w:r>
      <w:r w:rsidR="00AC7844">
        <w:rPr>
          <w:rFonts w:ascii="Arial" w:hAnsi="Arial" w:cs="Arial"/>
          <w:b/>
        </w:rPr>
        <w:t>:</w:t>
      </w:r>
    </w:p>
    <w:p w:rsidR="00691380" w:rsidRDefault="00A02458" w:rsidP="0069138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1380">
        <w:rPr>
          <w:rFonts w:ascii="Arial" w:hAnsi="Arial" w:cs="Arial"/>
        </w:rPr>
        <w:t>e debe identificar el nivel</w:t>
      </w:r>
      <w:r w:rsidR="00691380" w:rsidRPr="00D966DA">
        <w:rPr>
          <w:rFonts w:ascii="Arial" w:hAnsi="Arial" w:cs="Arial"/>
        </w:rPr>
        <w:t xml:space="preserve"> d</w:t>
      </w:r>
      <w:r w:rsidR="00691380">
        <w:rPr>
          <w:rFonts w:ascii="Arial" w:hAnsi="Arial" w:cs="Arial"/>
        </w:rPr>
        <w:t xml:space="preserve">e responsabilidad de los </w:t>
      </w:r>
      <w:r w:rsidR="00691380" w:rsidRPr="00D966DA">
        <w:rPr>
          <w:rFonts w:ascii="Arial" w:hAnsi="Arial" w:cs="Arial"/>
        </w:rPr>
        <w:t>servidores públicos</w:t>
      </w:r>
      <w:r w:rsidR="00691380">
        <w:rPr>
          <w:rFonts w:ascii="Arial" w:hAnsi="Arial" w:cs="Arial"/>
        </w:rPr>
        <w:t xml:space="preserve"> en función de su participación en los “o</w:t>
      </w:r>
      <w:r w:rsidR="00A3370E">
        <w:rPr>
          <w:rFonts w:ascii="Arial" w:hAnsi="Arial" w:cs="Arial"/>
        </w:rPr>
        <w:t>bjetos de responsabilidad” del c</w:t>
      </w:r>
      <w:r w:rsidR="00691380">
        <w:rPr>
          <w:rFonts w:ascii="Arial" w:hAnsi="Arial" w:cs="Arial"/>
        </w:rPr>
        <w:t xml:space="preserve">atálogo de </w:t>
      </w:r>
      <w:r w:rsidR="001F20E9">
        <w:rPr>
          <w:rFonts w:ascii="Arial" w:hAnsi="Arial" w:cs="Arial"/>
        </w:rPr>
        <w:t xml:space="preserve">concesiones, licencias, permisos, autorizaciones y sus prórrogas </w:t>
      </w:r>
      <w:r w:rsidR="00691380">
        <w:rPr>
          <w:rFonts w:ascii="Arial" w:hAnsi="Arial" w:cs="Arial"/>
        </w:rPr>
        <w:t xml:space="preserve">(Anexo </w:t>
      </w:r>
      <w:r w:rsidR="00C43119">
        <w:rPr>
          <w:rFonts w:ascii="Arial" w:hAnsi="Arial" w:cs="Arial"/>
        </w:rPr>
        <w:t>2</w:t>
      </w:r>
      <w:r w:rsidR="00691380">
        <w:rPr>
          <w:rFonts w:ascii="Arial" w:hAnsi="Arial" w:cs="Arial"/>
        </w:rPr>
        <w:t>)</w:t>
      </w:r>
      <w:r w:rsidR="00691380" w:rsidRPr="00D966DA">
        <w:rPr>
          <w:rFonts w:ascii="Arial" w:hAnsi="Arial" w:cs="Arial"/>
        </w:rPr>
        <w:t>.</w:t>
      </w:r>
    </w:p>
    <w:p w:rsidR="00691380" w:rsidRPr="00626014" w:rsidRDefault="00691380" w:rsidP="00691380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e</w:t>
      </w:r>
      <w:r w:rsidRPr="00626014">
        <w:rPr>
          <w:rFonts w:ascii="Arial" w:hAnsi="Arial" w:cs="Arial"/>
          <w:b/>
        </w:rPr>
        <w:t>jemplo de construcción del registro:</w:t>
      </w:r>
    </w:p>
    <w:p w:rsidR="00691380" w:rsidRPr="008964A2" w:rsidRDefault="00E443F6" w:rsidP="0069138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Suponiendo</w:t>
      </w:r>
      <w:r w:rsidR="00691380" w:rsidRPr="008964A2">
        <w:rPr>
          <w:rFonts w:ascii="Arial" w:hAnsi="Arial" w:cs="Arial"/>
        </w:rPr>
        <w:t xml:space="preserve"> que el servidor público </w:t>
      </w:r>
      <w:r w:rsidR="0052298C">
        <w:rPr>
          <w:rFonts w:ascii="Arial" w:hAnsi="Arial" w:cs="Arial"/>
        </w:rPr>
        <w:t>Adolfo Sánchez Ruiz</w:t>
      </w:r>
      <w:r w:rsidR="00691380" w:rsidRPr="008964A2">
        <w:rPr>
          <w:rFonts w:ascii="Arial" w:hAnsi="Arial" w:cs="Arial"/>
        </w:rPr>
        <w:t xml:space="preserve"> que labora en alguna institución </w:t>
      </w:r>
      <w:r w:rsidR="008520B3">
        <w:rPr>
          <w:rFonts w:ascii="Arial" w:hAnsi="Arial" w:cs="Arial"/>
        </w:rPr>
        <w:t>pública</w:t>
      </w:r>
      <w:r w:rsidR="00691380" w:rsidRPr="008964A2">
        <w:rPr>
          <w:rFonts w:ascii="Arial" w:hAnsi="Arial" w:cs="Arial"/>
        </w:rPr>
        <w:t xml:space="preserve">, tiene las siguientes responsabilidades dentro del catálogo de </w:t>
      </w:r>
      <w:r w:rsidR="001F20E9">
        <w:rPr>
          <w:rFonts w:ascii="Arial" w:hAnsi="Arial" w:cs="Arial"/>
        </w:rPr>
        <w:t>concesiones, licencias, permisos, autorizaciones y sus prórrogas</w:t>
      </w:r>
      <w:r w:rsidR="00691380" w:rsidRPr="008964A2">
        <w:rPr>
          <w:rFonts w:ascii="Arial" w:hAnsi="Arial" w:cs="Arial"/>
        </w:rPr>
        <w:t>:</w:t>
      </w:r>
    </w:p>
    <w:p w:rsidR="008520B3" w:rsidRPr="008520B3" w:rsidRDefault="00DA1304" w:rsidP="0069138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Firma</w:t>
      </w:r>
      <w:r w:rsidR="008520B3">
        <w:rPr>
          <w:rFonts w:ascii="Arial" w:hAnsi="Arial" w:cs="Arial"/>
        </w:rPr>
        <w:t xml:space="preserve"> las convocatorias.</w:t>
      </w:r>
    </w:p>
    <w:p w:rsidR="008520B3" w:rsidRDefault="00DA1304" w:rsidP="006D17A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Supervisa </w:t>
      </w:r>
      <w:r w:rsidRPr="00DA1304">
        <w:rPr>
          <w:rFonts w:ascii="Arial" w:hAnsi="Arial" w:cs="Arial"/>
        </w:rPr>
        <w:t>la evaluación de</w:t>
      </w:r>
      <w:r w:rsidR="00A3370E" w:rsidRPr="008520B3">
        <w:rPr>
          <w:rFonts w:ascii="Arial" w:hAnsi="Arial" w:cs="Arial"/>
          <w:b/>
        </w:rPr>
        <w:t xml:space="preserve"> </w:t>
      </w:r>
      <w:r w:rsidR="008520B3" w:rsidRPr="008520B3">
        <w:rPr>
          <w:rFonts w:ascii="Arial" w:hAnsi="Arial" w:cs="Arial"/>
        </w:rPr>
        <w:t>los requisitos para el otorgamiento de la concesi</w:t>
      </w:r>
      <w:r w:rsidR="008520B3">
        <w:rPr>
          <w:rFonts w:ascii="Arial" w:hAnsi="Arial" w:cs="Arial"/>
        </w:rPr>
        <w:t>ón, licencias, autorizaciones, permisos y sus prórrogas.</w:t>
      </w:r>
    </w:p>
    <w:p w:rsidR="00895A1A" w:rsidRPr="008520B3" w:rsidRDefault="00DA1304" w:rsidP="006D17A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Suscribe</w:t>
      </w:r>
      <w:r w:rsidR="008520B3">
        <w:rPr>
          <w:rFonts w:ascii="Arial" w:hAnsi="Arial" w:cs="Arial"/>
        </w:rPr>
        <w:t xml:space="preserve"> el otorgamiento de la concesión, licencia, autorización, permiso o sus prórrogas.</w:t>
      </w:r>
    </w:p>
    <w:p w:rsidR="00CF7EF8" w:rsidRDefault="00CF7EF8" w:rsidP="00E00EEF">
      <w:pPr>
        <w:ind w:left="426"/>
        <w:jc w:val="both"/>
        <w:rPr>
          <w:rFonts w:ascii="Arial" w:hAnsi="Arial" w:cs="Arial"/>
        </w:rPr>
      </w:pPr>
    </w:p>
    <w:p w:rsidR="00E00EEF" w:rsidRDefault="00E00EEF" w:rsidP="00E00EEF">
      <w:pPr>
        <w:ind w:left="426"/>
        <w:jc w:val="both"/>
        <w:rPr>
          <w:rFonts w:ascii="Arial" w:hAnsi="Arial" w:cs="Arial"/>
        </w:rPr>
      </w:pPr>
      <w:r w:rsidRPr="008964A2">
        <w:rPr>
          <w:rFonts w:ascii="Arial" w:hAnsi="Arial" w:cs="Arial"/>
        </w:rPr>
        <w:lastRenderedPageBreak/>
        <w:t>Dado lo anterior y utilizando el ca</w:t>
      </w:r>
      <w:r>
        <w:rPr>
          <w:rFonts w:ascii="Arial" w:hAnsi="Arial" w:cs="Arial"/>
        </w:rPr>
        <w:t>tá</w:t>
      </w:r>
      <w:r w:rsidRPr="008964A2">
        <w:rPr>
          <w:rFonts w:ascii="Arial" w:hAnsi="Arial" w:cs="Arial"/>
        </w:rPr>
        <w:t>logo correspondiente, se puede apreciar que el llenado para este campo</w:t>
      </w:r>
      <w:r>
        <w:rPr>
          <w:rFonts w:ascii="Arial" w:hAnsi="Arial" w:cs="Arial"/>
        </w:rPr>
        <w:t>, debe ser</w:t>
      </w:r>
      <w:r w:rsidRPr="008964A2">
        <w:rPr>
          <w:rFonts w:ascii="Arial" w:hAnsi="Arial" w:cs="Arial"/>
        </w:rPr>
        <w:t xml:space="preserve"> como sigue:</w:t>
      </w:r>
    </w:p>
    <w:tbl>
      <w:tblPr>
        <w:tblW w:w="7362" w:type="dxa"/>
        <w:tblInd w:w="15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4"/>
        <w:gridCol w:w="1474"/>
        <w:gridCol w:w="1477"/>
        <w:gridCol w:w="3017"/>
      </w:tblGrid>
      <w:tr w:rsidR="00691380" w:rsidRPr="008964A2" w:rsidTr="00FD492E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1380" w:rsidRPr="008964A2" w:rsidRDefault="00691380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1380" w:rsidRPr="008964A2" w:rsidRDefault="00691380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1380" w:rsidRPr="008964A2" w:rsidRDefault="00691380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30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1380" w:rsidRPr="008964A2" w:rsidRDefault="00691380" w:rsidP="00FD4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Campo 4</w:t>
            </w:r>
            <w:r w:rsidR="00F9659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49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FD492E" w:rsidRPr="00FD492E">
              <w:rPr>
                <w:rFonts w:ascii="Arial" w:hAnsi="Arial" w:cs="Arial"/>
                <w:b/>
                <w:bCs/>
                <w:sz w:val="16"/>
                <w:szCs w:val="16"/>
              </w:rPr>
              <w:t>Concesiones, licencias, permisos, autorizaciones y sus prórrogas</w:t>
            </w: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91380" w:rsidRPr="008964A2" w:rsidTr="00FD492E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1380" w:rsidRPr="008964A2" w:rsidRDefault="0052298C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1380" w:rsidRPr="008964A2" w:rsidRDefault="0052298C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1380" w:rsidRPr="008964A2" w:rsidRDefault="0052298C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</w:t>
            </w:r>
          </w:p>
        </w:tc>
        <w:tc>
          <w:tcPr>
            <w:tcW w:w="30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91380" w:rsidRPr="0057495B" w:rsidRDefault="003117F4" w:rsidP="001F20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95B">
              <w:rPr>
                <w:rFonts w:ascii="Arial" w:hAnsi="Arial" w:cs="Arial"/>
                <w:b/>
                <w:sz w:val="16"/>
                <w:szCs w:val="16"/>
              </w:rPr>
              <w:t>C1,D4,E5</w:t>
            </w:r>
          </w:p>
        </w:tc>
      </w:tr>
    </w:tbl>
    <w:p w:rsidR="00A52945" w:rsidRDefault="00A52945" w:rsidP="00691380">
      <w:pPr>
        <w:jc w:val="both"/>
        <w:rPr>
          <w:rFonts w:ascii="Arial" w:hAnsi="Arial" w:cs="Arial"/>
          <w:b/>
        </w:rPr>
      </w:pPr>
    </w:p>
    <w:p w:rsidR="001F20E9" w:rsidRPr="0027762B" w:rsidRDefault="001F20E9" w:rsidP="001F20E9">
      <w:pPr>
        <w:ind w:left="426"/>
        <w:jc w:val="both"/>
        <w:rPr>
          <w:rFonts w:ascii="Arial" w:hAnsi="Arial" w:cs="Arial"/>
          <w:b/>
        </w:rPr>
      </w:pPr>
      <w:r w:rsidRPr="0027762B">
        <w:rPr>
          <w:rFonts w:ascii="Arial" w:hAnsi="Arial" w:cs="Arial"/>
          <w:b/>
        </w:rPr>
        <w:t>Segundo ejemplo de construcción del registro:</w:t>
      </w:r>
    </w:p>
    <w:p w:rsidR="001F20E9" w:rsidRPr="008964A2" w:rsidRDefault="003E76A5" w:rsidP="001F20E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Suponiendo </w:t>
      </w:r>
      <w:r w:rsidR="001F20E9" w:rsidRPr="008964A2">
        <w:rPr>
          <w:rFonts w:ascii="Arial" w:hAnsi="Arial" w:cs="Arial"/>
        </w:rPr>
        <w:t xml:space="preserve">que </w:t>
      </w:r>
      <w:r w:rsidR="001F20E9">
        <w:rPr>
          <w:rFonts w:ascii="Arial" w:hAnsi="Arial" w:cs="Arial"/>
        </w:rPr>
        <w:t>la</w:t>
      </w:r>
      <w:r w:rsidR="001F20E9" w:rsidRPr="008964A2">
        <w:rPr>
          <w:rFonts w:ascii="Arial" w:hAnsi="Arial" w:cs="Arial"/>
        </w:rPr>
        <w:t xml:space="preserve"> servidor</w:t>
      </w:r>
      <w:r w:rsidR="001F20E9">
        <w:rPr>
          <w:rFonts w:ascii="Arial" w:hAnsi="Arial" w:cs="Arial"/>
        </w:rPr>
        <w:t>a</w:t>
      </w:r>
      <w:r w:rsidR="001F20E9" w:rsidRPr="008964A2">
        <w:rPr>
          <w:rFonts w:ascii="Arial" w:hAnsi="Arial" w:cs="Arial"/>
        </w:rPr>
        <w:t xml:space="preserve"> públic</w:t>
      </w:r>
      <w:r w:rsidR="001F20E9">
        <w:rPr>
          <w:rFonts w:ascii="Arial" w:hAnsi="Arial" w:cs="Arial"/>
        </w:rPr>
        <w:t>a</w:t>
      </w:r>
      <w:r w:rsidR="001F20E9" w:rsidRPr="008964A2">
        <w:rPr>
          <w:rFonts w:ascii="Arial" w:hAnsi="Arial" w:cs="Arial"/>
        </w:rPr>
        <w:t xml:space="preserve"> </w:t>
      </w:r>
      <w:r w:rsidR="001F20E9">
        <w:rPr>
          <w:rFonts w:ascii="Arial" w:hAnsi="Arial" w:cs="Arial"/>
        </w:rPr>
        <w:t>Esmeralda Huerta López</w:t>
      </w:r>
      <w:r w:rsidR="001F20E9" w:rsidRPr="008964A2">
        <w:rPr>
          <w:rFonts w:ascii="Arial" w:hAnsi="Arial" w:cs="Arial"/>
        </w:rPr>
        <w:t xml:space="preserve"> que labora en alguna institución </w:t>
      </w:r>
      <w:r w:rsidR="001F20E9">
        <w:rPr>
          <w:rFonts w:ascii="Arial" w:hAnsi="Arial" w:cs="Arial"/>
        </w:rPr>
        <w:t>pública</w:t>
      </w:r>
      <w:r w:rsidR="001F20E9" w:rsidRPr="008964A2">
        <w:rPr>
          <w:rFonts w:ascii="Arial" w:hAnsi="Arial" w:cs="Arial"/>
        </w:rPr>
        <w:t xml:space="preserve">, tiene las siguientes responsabilidades dentro del catálogo de </w:t>
      </w:r>
      <w:r w:rsidR="001F20E9">
        <w:rPr>
          <w:rFonts w:ascii="Arial" w:hAnsi="Arial" w:cs="Arial"/>
        </w:rPr>
        <w:t>concesiones, licencias, permisos, autorizaciones y sus prórrogas</w:t>
      </w:r>
      <w:r w:rsidR="001F20E9" w:rsidRPr="008964A2">
        <w:rPr>
          <w:rFonts w:ascii="Arial" w:hAnsi="Arial" w:cs="Arial"/>
        </w:rPr>
        <w:t>:</w:t>
      </w:r>
    </w:p>
    <w:p w:rsidR="001F20E9" w:rsidRPr="003C2B5A" w:rsidRDefault="001F20E9" w:rsidP="001F20E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</w:t>
      </w:r>
      <w:r w:rsidRPr="003C2B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las convocatorias.</w:t>
      </w:r>
    </w:p>
    <w:p w:rsidR="001F20E9" w:rsidRPr="008520B3" w:rsidRDefault="00C204D2" w:rsidP="001F20E9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Elabora</w:t>
      </w:r>
      <w:r>
        <w:rPr>
          <w:rFonts w:ascii="Arial" w:hAnsi="Arial" w:cs="Arial"/>
        </w:rPr>
        <w:t xml:space="preserve"> evaluación del cumplimiento de los requisitos para el </w:t>
      </w:r>
      <w:r w:rsidR="001F20E9">
        <w:rPr>
          <w:rFonts w:ascii="Arial" w:hAnsi="Arial" w:cs="Arial"/>
        </w:rPr>
        <w:t>otorgamiento de la concesión, licencia, autorización, permiso o sus prórrogas.</w:t>
      </w:r>
    </w:p>
    <w:p w:rsidR="00E00EEF" w:rsidRDefault="00E00EEF" w:rsidP="00E00EEF">
      <w:pPr>
        <w:ind w:left="426"/>
        <w:jc w:val="both"/>
        <w:rPr>
          <w:rFonts w:ascii="Arial" w:hAnsi="Arial" w:cs="Arial"/>
        </w:rPr>
      </w:pPr>
      <w:r w:rsidRPr="008964A2">
        <w:rPr>
          <w:rFonts w:ascii="Arial" w:hAnsi="Arial" w:cs="Arial"/>
        </w:rPr>
        <w:t>Dado lo anterior y utilizando el ca</w:t>
      </w:r>
      <w:r>
        <w:rPr>
          <w:rFonts w:ascii="Arial" w:hAnsi="Arial" w:cs="Arial"/>
        </w:rPr>
        <w:t>tá</w:t>
      </w:r>
      <w:r w:rsidRPr="008964A2">
        <w:rPr>
          <w:rFonts w:ascii="Arial" w:hAnsi="Arial" w:cs="Arial"/>
        </w:rPr>
        <w:t>logo correspondiente, se puede apreciar que el llenado para este campo</w:t>
      </w:r>
      <w:r>
        <w:rPr>
          <w:rFonts w:ascii="Arial" w:hAnsi="Arial" w:cs="Arial"/>
        </w:rPr>
        <w:t>, debe ser</w:t>
      </w:r>
      <w:r w:rsidRPr="008964A2">
        <w:rPr>
          <w:rFonts w:ascii="Arial" w:hAnsi="Arial" w:cs="Arial"/>
        </w:rPr>
        <w:t xml:space="preserve"> como sigue:</w:t>
      </w:r>
    </w:p>
    <w:tbl>
      <w:tblPr>
        <w:tblW w:w="7371" w:type="dxa"/>
        <w:tblInd w:w="1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7"/>
        <w:gridCol w:w="1559"/>
        <w:gridCol w:w="1418"/>
        <w:gridCol w:w="2977"/>
      </w:tblGrid>
      <w:tr w:rsidR="001F20E9" w:rsidRPr="008964A2" w:rsidTr="00FD492E">
        <w:trPr>
          <w:trHeight w:val="36"/>
        </w:trPr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20E9" w:rsidRPr="00533FC6" w:rsidRDefault="001F20E9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20E9" w:rsidRPr="00533FC6" w:rsidRDefault="001F20E9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20E9" w:rsidRPr="00533FC6" w:rsidRDefault="001F20E9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20E9" w:rsidRPr="00533FC6" w:rsidRDefault="001F20E9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Campo 4</w:t>
            </w:r>
            <w:r w:rsidR="00F9659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49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FD492E" w:rsidRPr="00FD492E">
              <w:rPr>
                <w:rFonts w:ascii="Arial" w:hAnsi="Arial" w:cs="Arial"/>
                <w:b/>
                <w:bCs/>
                <w:sz w:val="16"/>
                <w:szCs w:val="16"/>
              </w:rPr>
              <w:t>Concesiones, licencias, permisos, autorizaciones y sus prórrogas</w:t>
            </w: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F20E9" w:rsidRPr="001F20E9" w:rsidTr="00FD492E">
        <w:trPr>
          <w:trHeight w:val="36"/>
        </w:trPr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20E9" w:rsidRPr="008964A2" w:rsidRDefault="001F20E9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ESMERALDA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20E9" w:rsidRPr="008964A2" w:rsidRDefault="001F20E9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HUERTA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F20E9" w:rsidRPr="008964A2" w:rsidRDefault="003E76A5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LÓ</w:t>
            </w:r>
            <w:r w:rsidR="001F20E9">
              <w:rPr>
                <w:rFonts w:ascii="Arial" w:hAnsi="Arial" w:cs="Arial"/>
                <w:sz w:val="16"/>
                <w:szCs w:val="16"/>
              </w:rPr>
              <w:t>PEZ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F20E9" w:rsidRPr="0057495B" w:rsidRDefault="001F20E9" w:rsidP="001F20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7495B">
              <w:rPr>
                <w:rFonts w:ascii="Arial" w:hAnsi="Arial" w:cs="Arial"/>
                <w:b/>
                <w:sz w:val="16"/>
                <w:szCs w:val="16"/>
              </w:rPr>
              <w:t>A1,</w:t>
            </w:r>
            <w:r w:rsidR="00C204D2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57495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:rsidR="001F20E9" w:rsidRDefault="001F20E9" w:rsidP="001F20E9">
      <w:pPr>
        <w:pStyle w:val="Prrafodelista"/>
        <w:ind w:left="426"/>
        <w:jc w:val="both"/>
        <w:rPr>
          <w:rFonts w:ascii="Arial" w:hAnsi="Arial" w:cs="Arial"/>
          <w:b/>
          <w:lang w:val="en-US"/>
        </w:rPr>
      </w:pPr>
    </w:p>
    <w:p w:rsidR="001F20E9" w:rsidRPr="001F20E9" w:rsidRDefault="001F20E9" w:rsidP="001F20E9">
      <w:pPr>
        <w:pStyle w:val="Prrafodelista"/>
        <w:ind w:left="426"/>
        <w:jc w:val="both"/>
        <w:rPr>
          <w:rFonts w:ascii="Arial" w:hAnsi="Arial" w:cs="Arial"/>
          <w:b/>
          <w:lang w:val="en-US"/>
        </w:rPr>
      </w:pPr>
    </w:p>
    <w:p w:rsidR="00895A1A" w:rsidRPr="00895A1A" w:rsidRDefault="00895A1A" w:rsidP="002842FD">
      <w:pPr>
        <w:pStyle w:val="Prrafodelista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 w:rsidRPr="00895A1A">
        <w:rPr>
          <w:rFonts w:ascii="Arial" w:hAnsi="Arial" w:cs="Arial"/>
          <w:b/>
        </w:rPr>
        <w:t>C</w:t>
      </w:r>
      <w:r w:rsidR="004944AF" w:rsidRPr="00895A1A">
        <w:rPr>
          <w:rFonts w:ascii="Arial" w:hAnsi="Arial" w:cs="Arial"/>
          <w:b/>
        </w:rPr>
        <w:t>ampo 4</w:t>
      </w:r>
      <w:r w:rsidR="00774EA8">
        <w:rPr>
          <w:rFonts w:ascii="Arial" w:hAnsi="Arial" w:cs="Arial"/>
          <w:b/>
        </w:rPr>
        <w:t>6</w:t>
      </w:r>
      <w:r w:rsidRPr="00895A1A">
        <w:rPr>
          <w:rFonts w:ascii="Arial" w:hAnsi="Arial" w:cs="Arial"/>
          <w:b/>
        </w:rPr>
        <w:t>:</w:t>
      </w:r>
      <w:r w:rsidR="004944AF" w:rsidRPr="00895A1A">
        <w:rPr>
          <w:rFonts w:ascii="Arial" w:hAnsi="Arial" w:cs="Arial"/>
          <w:b/>
        </w:rPr>
        <w:t xml:space="preserve"> </w:t>
      </w:r>
      <w:r w:rsidR="00FA4FB0" w:rsidRPr="00895A1A">
        <w:rPr>
          <w:rFonts w:ascii="Arial" w:hAnsi="Arial" w:cs="Arial"/>
          <w:b/>
        </w:rPr>
        <w:t>Enajenación de Bienes Muebles</w:t>
      </w:r>
      <w:r>
        <w:rPr>
          <w:rFonts w:ascii="Arial" w:hAnsi="Arial" w:cs="Arial"/>
          <w:b/>
        </w:rPr>
        <w:t>.</w:t>
      </w:r>
    </w:p>
    <w:p w:rsidR="00D32970" w:rsidRDefault="00A02458" w:rsidP="00D3297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2970">
        <w:rPr>
          <w:rFonts w:ascii="Arial" w:hAnsi="Arial" w:cs="Arial"/>
        </w:rPr>
        <w:t>e debe identificar el nivel</w:t>
      </w:r>
      <w:r w:rsidR="00D32970" w:rsidRPr="00D966DA">
        <w:rPr>
          <w:rFonts w:ascii="Arial" w:hAnsi="Arial" w:cs="Arial"/>
        </w:rPr>
        <w:t xml:space="preserve"> d</w:t>
      </w:r>
      <w:r w:rsidR="00D32970">
        <w:rPr>
          <w:rFonts w:ascii="Arial" w:hAnsi="Arial" w:cs="Arial"/>
        </w:rPr>
        <w:t xml:space="preserve">e responsabilidad de los </w:t>
      </w:r>
      <w:r w:rsidR="00D32970" w:rsidRPr="00D966DA">
        <w:rPr>
          <w:rFonts w:ascii="Arial" w:hAnsi="Arial" w:cs="Arial"/>
        </w:rPr>
        <w:t>servidores públicos</w:t>
      </w:r>
      <w:r w:rsidR="00D32970">
        <w:rPr>
          <w:rFonts w:ascii="Arial" w:hAnsi="Arial" w:cs="Arial"/>
        </w:rPr>
        <w:t xml:space="preserve"> en función de su participación en los “objetos de responsabilidad” del catálogo de Enajen</w:t>
      </w:r>
      <w:r w:rsidR="0025144A">
        <w:rPr>
          <w:rFonts w:ascii="Arial" w:hAnsi="Arial" w:cs="Arial"/>
        </w:rPr>
        <w:t>ación de Bienes Muebles (Anexo 3</w:t>
      </w:r>
      <w:r w:rsidR="00D32970">
        <w:rPr>
          <w:rFonts w:ascii="Arial" w:hAnsi="Arial" w:cs="Arial"/>
        </w:rPr>
        <w:t>)</w:t>
      </w:r>
      <w:r w:rsidR="00D32970" w:rsidRPr="00D966DA">
        <w:rPr>
          <w:rFonts w:ascii="Arial" w:hAnsi="Arial" w:cs="Arial"/>
        </w:rPr>
        <w:t>.</w:t>
      </w:r>
    </w:p>
    <w:p w:rsidR="0047455A" w:rsidRPr="00626014" w:rsidRDefault="0047455A" w:rsidP="00B554E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e</w:t>
      </w:r>
      <w:r w:rsidRPr="00626014">
        <w:rPr>
          <w:rFonts w:ascii="Arial" w:hAnsi="Arial" w:cs="Arial"/>
          <w:b/>
        </w:rPr>
        <w:t>jemplo de construcción del registro:</w:t>
      </w:r>
    </w:p>
    <w:p w:rsidR="00CE608C" w:rsidRPr="008964A2" w:rsidRDefault="003E76A5" w:rsidP="003C2B5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Suponiendo</w:t>
      </w:r>
      <w:r w:rsidR="00CE608C" w:rsidRPr="008964A2">
        <w:rPr>
          <w:rFonts w:ascii="Arial" w:hAnsi="Arial" w:cs="Arial"/>
        </w:rPr>
        <w:t xml:space="preserve"> que el servidor público </w:t>
      </w:r>
      <w:r w:rsidR="0052298C">
        <w:rPr>
          <w:rFonts w:ascii="Arial" w:hAnsi="Arial" w:cs="Arial"/>
        </w:rPr>
        <w:t>Roberto Godínez Paz</w:t>
      </w:r>
      <w:r w:rsidR="00CE608C" w:rsidRPr="008964A2">
        <w:rPr>
          <w:rFonts w:ascii="Arial" w:hAnsi="Arial" w:cs="Arial"/>
        </w:rPr>
        <w:t xml:space="preserve"> que labora en alguna institución </w:t>
      </w:r>
      <w:r w:rsidR="0025144A">
        <w:rPr>
          <w:rFonts w:ascii="Arial" w:hAnsi="Arial" w:cs="Arial"/>
        </w:rPr>
        <w:t>pública</w:t>
      </w:r>
      <w:r w:rsidR="00CE608C" w:rsidRPr="008964A2">
        <w:rPr>
          <w:rFonts w:ascii="Arial" w:hAnsi="Arial" w:cs="Arial"/>
        </w:rPr>
        <w:t xml:space="preserve">, tiene las siguientes responsabilidades dentro del catálogo de </w:t>
      </w:r>
      <w:r w:rsidR="00CE608C" w:rsidRPr="00FA4FB0">
        <w:rPr>
          <w:rFonts w:ascii="Arial" w:hAnsi="Arial" w:cs="Arial"/>
        </w:rPr>
        <w:t>Enajenación de Bienes Muebles</w:t>
      </w:r>
      <w:r w:rsidR="00CE608C" w:rsidRPr="008964A2">
        <w:rPr>
          <w:rFonts w:ascii="Arial" w:hAnsi="Arial" w:cs="Arial"/>
        </w:rPr>
        <w:t>:</w:t>
      </w:r>
    </w:p>
    <w:p w:rsidR="00575BFD" w:rsidRDefault="00575BFD" w:rsidP="007B20E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75BFD">
        <w:rPr>
          <w:rFonts w:ascii="Arial" w:hAnsi="Arial" w:cs="Arial"/>
          <w:b/>
        </w:rPr>
        <w:t>Revisa</w:t>
      </w:r>
      <w:r w:rsidR="005F3047" w:rsidRPr="00575B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</w:t>
      </w:r>
      <w:r w:rsidR="00DC19F6">
        <w:rPr>
          <w:rFonts w:ascii="Arial" w:hAnsi="Arial" w:cs="Arial"/>
        </w:rPr>
        <w:t>p</w:t>
      </w:r>
      <w:r w:rsidR="00DC19F6" w:rsidRPr="00575BFD">
        <w:rPr>
          <w:rFonts w:ascii="Arial" w:hAnsi="Arial" w:cs="Arial"/>
        </w:rPr>
        <w:t xml:space="preserve">resentación </w:t>
      </w:r>
      <w:r w:rsidRPr="00575BFD">
        <w:rPr>
          <w:rFonts w:ascii="Arial" w:hAnsi="Arial" w:cs="Arial"/>
        </w:rPr>
        <w:t>y apertura de ofertas</w:t>
      </w:r>
      <w:r>
        <w:rPr>
          <w:rFonts w:ascii="Arial" w:hAnsi="Arial" w:cs="Arial"/>
        </w:rPr>
        <w:t>.</w:t>
      </w:r>
      <w:r w:rsidRPr="00575BFD">
        <w:rPr>
          <w:rFonts w:ascii="Arial" w:hAnsi="Arial" w:cs="Arial"/>
          <w:b/>
        </w:rPr>
        <w:t xml:space="preserve"> </w:t>
      </w:r>
    </w:p>
    <w:p w:rsidR="00575BFD" w:rsidRDefault="00575BFD" w:rsidP="00575BFD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Supervisa</w:t>
      </w:r>
      <w:r w:rsidRPr="00575B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</w:t>
      </w:r>
      <w:r w:rsidR="00DC19F6">
        <w:rPr>
          <w:rFonts w:ascii="Arial" w:hAnsi="Arial" w:cs="Arial"/>
        </w:rPr>
        <w:t>p</w:t>
      </w:r>
      <w:r w:rsidR="00DC19F6" w:rsidRPr="00575BFD">
        <w:rPr>
          <w:rFonts w:ascii="Arial" w:hAnsi="Arial" w:cs="Arial"/>
        </w:rPr>
        <w:t xml:space="preserve">resentación </w:t>
      </w:r>
      <w:r w:rsidRPr="00575BFD">
        <w:rPr>
          <w:rFonts w:ascii="Arial" w:hAnsi="Arial" w:cs="Arial"/>
        </w:rPr>
        <w:t>y apertura de ofertas</w:t>
      </w:r>
      <w:r>
        <w:rPr>
          <w:rFonts w:ascii="Arial" w:hAnsi="Arial" w:cs="Arial"/>
          <w:b/>
        </w:rPr>
        <w:t>.</w:t>
      </w:r>
    </w:p>
    <w:p w:rsidR="00CE608C" w:rsidRPr="003C2B5A" w:rsidRDefault="00575BFD" w:rsidP="003C2B5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Elabora </w:t>
      </w:r>
      <w:r w:rsidRPr="00575BFD">
        <w:rPr>
          <w:rFonts w:ascii="Arial" w:hAnsi="Arial" w:cs="Arial"/>
        </w:rPr>
        <w:t xml:space="preserve">la </w:t>
      </w:r>
      <w:r w:rsidR="00DC19F6" w:rsidRPr="00575BFD">
        <w:rPr>
          <w:rFonts w:ascii="Arial" w:hAnsi="Arial" w:cs="Arial"/>
        </w:rPr>
        <w:t xml:space="preserve">formalización </w:t>
      </w:r>
      <w:r w:rsidRPr="00575BFD">
        <w:rPr>
          <w:rFonts w:ascii="Arial" w:hAnsi="Arial" w:cs="Arial"/>
        </w:rPr>
        <w:t>del c</w:t>
      </w:r>
      <w:r>
        <w:rPr>
          <w:rFonts w:ascii="Arial" w:hAnsi="Arial" w:cs="Arial"/>
        </w:rPr>
        <w:t>ontrato</w:t>
      </w:r>
      <w:r w:rsidR="00D9147F" w:rsidRPr="00405209">
        <w:rPr>
          <w:rFonts w:ascii="Arial" w:hAnsi="Arial" w:cs="Arial"/>
        </w:rPr>
        <w:t>.</w:t>
      </w:r>
    </w:p>
    <w:p w:rsidR="00CF7EF8" w:rsidRDefault="00CF7EF8" w:rsidP="00E00EEF">
      <w:pPr>
        <w:ind w:left="426"/>
        <w:jc w:val="both"/>
        <w:rPr>
          <w:rFonts w:ascii="Arial" w:hAnsi="Arial" w:cs="Arial"/>
        </w:rPr>
      </w:pPr>
    </w:p>
    <w:p w:rsidR="00CF7EF8" w:rsidRDefault="00CF7EF8" w:rsidP="00E00EEF">
      <w:pPr>
        <w:ind w:left="426"/>
        <w:jc w:val="both"/>
        <w:rPr>
          <w:rFonts w:ascii="Arial" w:hAnsi="Arial" w:cs="Arial"/>
        </w:rPr>
      </w:pPr>
    </w:p>
    <w:p w:rsidR="00CF7EF8" w:rsidRDefault="00CF7EF8" w:rsidP="00E00EEF">
      <w:pPr>
        <w:ind w:left="426"/>
        <w:jc w:val="both"/>
        <w:rPr>
          <w:rFonts w:ascii="Arial" w:hAnsi="Arial" w:cs="Arial"/>
        </w:rPr>
      </w:pPr>
    </w:p>
    <w:p w:rsidR="00E00EEF" w:rsidRDefault="00E00EEF" w:rsidP="00E00EEF">
      <w:pPr>
        <w:ind w:left="426"/>
        <w:jc w:val="both"/>
        <w:rPr>
          <w:rFonts w:ascii="Arial" w:hAnsi="Arial" w:cs="Arial"/>
        </w:rPr>
      </w:pPr>
      <w:r w:rsidRPr="008964A2">
        <w:rPr>
          <w:rFonts w:ascii="Arial" w:hAnsi="Arial" w:cs="Arial"/>
        </w:rPr>
        <w:lastRenderedPageBreak/>
        <w:t>Dado lo anterior y utilizando el ca</w:t>
      </w:r>
      <w:r>
        <w:rPr>
          <w:rFonts w:ascii="Arial" w:hAnsi="Arial" w:cs="Arial"/>
        </w:rPr>
        <w:t>tá</w:t>
      </w:r>
      <w:r w:rsidRPr="008964A2">
        <w:rPr>
          <w:rFonts w:ascii="Arial" w:hAnsi="Arial" w:cs="Arial"/>
        </w:rPr>
        <w:t>logo correspondiente, se puede apreciar que el llenado para este campo</w:t>
      </w:r>
      <w:r>
        <w:rPr>
          <w:rFonts w:ascii="Arial" w:hAnsi="Arial" w:cs="Arial"/>
        </w:rPr>
        <w:t>, debe ser</w:t>
      </w:r>
      <w:r w:rsidRPr="008964A2">
        <w:rPr>
          <w:rFonts w:ascii="Arial" w:hAnsi="Arial" w:cs="Arial"/>
        </w:rPr>
        <w:t xml:space="preserve"> como sigue:</w:t>
      </w:r>
    </w:p>
    <w:p w:rsidR="00A52945" w:rsidRDefault="00A52945" w:rsidP="00E00EEF">
      <w:pPr>
        <w:ind w:left="426"/>
        <w:jc w:val="both"/>
        <w:rPr>
          <w:rFonts w:ascii="Arial" w:hAnsi="Arial" w:cs="Arial"/>
        </w:rPr>
      </w:pPr>
    </w:p>
    <w:tbl>
      <w:tblPr>
        <w:tblW w:w="7220" w:type="dxa"/>
        <w:tblInd w:w="15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4"/>
        <w:gridCol w:w="1474"/>
        <w:gridCol w:w="1477"/>
        <w:gridCol w:w="2875"/>
      </w:tblGrid>
      <w:tr w:rsidR="00CE608C" w:rsidRPr="008964A2" w:rsidTr="0057495B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608C" w:rsidRPr="008964A2" w:rsidRDefault="00CE608C" w:rsidP="00F5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608C" w:rsidRPr="008964A2" w:rsidRDefault="00CE608C" w:rsidP="00F5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608C" w:rsidRPr="008964A2" w:rsidRDefault="00CE608C" w:rsidP="00F5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608C" w:rsidRPr="008964A2" w:rsidRDefault="00CE608C" w:rsidP="00645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Campo 4</w:t>
            </w:r>
            <w:r w:rsidR="00F9659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574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D9147F" w:rsidRPr="00D9147F">
              <w:rPr>
                <w:rFonts w:ascii="Arial" w:hAnsi="Arial" w:cs="Arial"/>
                <w:b/>
                <w:bCs/>
                <w:sz w:val="16"/>
                <w:szCs w:val="16"/>
              </w:rPr>
              <w:t>Enajenación de Bienes Muebles</w:t>
            </w: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E608C" w:rsidRPr="008964A2" w:rsidTr="0057495B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608C" w:rsidRPr="008964A2" w:rsidRDefault="0052298C" w:rsidP="00F5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ROBERTO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608C" w:rsidRPr="008964A2" w:rsidRDefault="0052298C" w:rsidP="00F5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GODÍNEZ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608C" w:rsidRPr="008964A2" w:rsidRDefault="0052298C" w:rsidP="00F5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</w:t>
            </w:r>
          </w:p>
        </w:tc>
        <w:tc>
          <w:tcPr>
            <w:tcW w:w="28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E608C" w:rsidRPr="008964A2" w:rsidRDefault="0004717C" w:rsidP="005F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B4,D4,A7</w:t>
            </w:r>
          </w:p>
        </w:tc>
      </w:tr>
    </w:tbl>
    <w:p w:rsidR="003E76A5" w:rsidRDefault="003E76A5" w:rsidP="0057495B">
      <w:pPr>
        <w:ind w:left="426"/>
        <w:jc w:val="both"/>
        <w:rPr>
          <w:rFonts w:ascii="Arial" w:hAnsi="Arial" w:cs="Arial"/>
          <w:b/>
        </w:rPr>
      </w:pPr>
    </w:p>
    <w:p w:rsidR="0057495B" w:rsidRPr="0027762B" w:rsidRDefault="0057495B" w:rsidP="0057495B">
      <w:pPr>
        <w:ind w:left="426"/>
        <w:jc w:val="both"/>
        <w:rPr>
          <w:rFonts w:ascii="Arial" w:hAnsi="Arial" w:cs="Arial"/>
          <w:b/>
        </w:rPr>
      </w:pPr>
      <w:r w:rsidRPr="0027762B">
        <w:rPr>
          <w:rFonts w:ascii="Arial" w:hAnsi="Arial" w:cs="Arial"/>
          <w:b/>
        </w:rPr>
        <w:t>Segundo ejemplo de construcción del registro:</w:t>
      </w:r>
    </w:p>
    <w:p w:rsidR="0057495B" w:rsidRPr="008964A2" w:rsidRDefault="003E76A5" w:rsidP="0057495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Suponiendo</w:t>
      </w:r>
      <w:r w:rsidR="0057495B" w:rsidRPr="008964A2">
        <w:rPr>
          <w:rFonts w:ascii="Arial" w:hAnsi="Arial" w:cs="Arial"/>
        </w:rPr>
        <w:t xml:space="preserve"> que </w:t>
      </w:r>
      <w:r w:rsidR="0057495B">
        <w:rPr>
          <w:rFonts w:ascii="Arial" w:hAnsi="Arial" w:cs="Arial"/>
        </w:rPr>
        <w:t>la</w:t>
      </w:r>
      <w:r w:rsidR="0057495B" w:rsidRPr="008964A2">
        <w:rPr>
          <w:rFonts w:ascii="Arial" w:hAnsi="Arial" w:cs="Arial"/>
        </w:rPr>
        <w:t xml:space="preserve"> servidor</w:t>
      </w:r>
      <w:r w:rsidR="0057495B">
        <w:rPr>
          <w:rFonts w:ascii="Arial" w:hAnsi="Arial" w:cs="Arial"/>
        </w:rPr>
        <w:t>a</w:t>
      </w:r>
      <w:r w:rsidR="0057495B" w:rsidRPr="008964A2">
        <w:rPr>
          <w:rFonts w:ascii="Arial" w:hAnsi="Arial" w:cs="Arial"/>
        </w:rPr>
        <w:t xml:space="preserve"> públic</w:t>
      </w:r>
      <w:r w:rsidR="0057495B">
        <w:rPr>
          <w:rFonts w:ascii="Arial" w:hAnsi="Arial" w:cs="Arial"/>
        </w:rPr>
        <w:t>a</w:t>
      </w:r>
      <w:r w:rsidR="0057495B" w:rsidRPr="008964A2">
        <w:rPr>
          <w:rFonts w:ascii="Arial" w:hAnsi="Arial" w:cs="Arial"/>
        </w:rPr>
        <w:t xml:space="preserve"> </w:t>
      </w:r>
      <w:r w:rsidR="00F059F4">
        <w:rPr>
          <w:rFonts w:ascii="Arial" w:hAnsi="Arial" w:cs="Arial"/>
        </w:rPr>
        <w:t>Sofía Martínez Chagoya</w:t>
      </w:r>
      <w:r w:rsidR="0057495B" w:rsidRPr="008964A2">
        <w:rPr>
          <w:rFonts w:ascii="Arial" w:hAnsi="Arial" w:cs="Arial"/>
        </w:rPr>
        <w:t xml:space="preserve"> que labora en alguna institución </w:t>
      </w:r>
      <w:r w:rsidR="0057495B">
        <w:rPr>
          <w:rFonts w:ascii="Arial" w:hAnsi="Arial" w:cs="Arial"/>
        </w:rPr>
        <w:t>pública</w:t>
      </w:r>
      <w:r w:rsidR="0057495B" w:rsidRPr="008964A2">
        <w:rPr>
          <w:rFonts w:ascii="Arial" w:hAnsi="Arial" w:cs="Arial"/>
        </w:rPr>
        <w:t xml:space="preserve">, tiene las siguientes responsabilidades dentro del </w:t>
      </w:r>
      <w:r w:rsidR="0057495B">
        <w:rPr>
          <w:rFonts w:ascii="Arial" w:hAnsi="Arial" w:cs="Arial"/>
        </w:rPr>
        <w:t>catálogo de Enajenación de Bienes Muebles:</w:t>
      </w:r>
    </w:p>
    <w:p w:rsidR="0057495B" w:rsidRDefault="0057495B" w:rsidP="0057495B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Revisa</w:t>
      </w:r>
      <w:r>
        <w:rPr>
          <w:rFonts w:ascii="Arial" w:hAnsi="Arial" w:cs="Arial"/>
        </w:rPr>
        <w:t xml:space="preserve"> la e</w:t>
      </w:r>
      <w:r w:rsidRPr="0057495B">
        <w:rPr>
          <w:rFonts w:ascii="Arial" w:hAnsi="Arial" w:cs="Arial"/>
        </w:rPr>
        <w:t>valuación de ofertas</w:t>
      </w:r>
      <w:r>
        <w:rPr>
          <w:rFonts w:ascii="Arial" w:hAnsi="Arial" w:cs="Arial"/>
        </w:rPr>
        <w:t>.</w:t>
      </w:r>
    </w:p>
    <w:p w:rsidR="00C204D2" w:rsidRPr="008520B3" w:rsidRDefault="00C204D2" w:rsidP="0057495B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Emite </w:t>
      </w:r>
      <w:r>
        <w:rPr>
          <w:rFonts w:ascii="Arial" w:hAnsi="Arial" w:cs="Arial"/>
        </w:rPr>
        <w:t>el fallo.</w:t>
      </w:r>
    </w:p>
    <w:p w:rsidR="00E00EEF" w:rsidRDefault="00E00EEF" w:rsidP="00E00EEF">
      <w:pPr>
        <w:ind w:left="426"/>
        <w:jc w:val="both"/>
        <w:rPr>
          <w:rFonts w:ascii="Arial" w:hAnsi="Arial" w:cs="Arial"/>
        </w:rPr>
      </w:pPr>
      <w:r w:rsidRPr="008964A2">
        <w:rPr>
          <w:rFonts w:ascii="Arial" w:hAnsi="Arial" w:cs="Arial"/>
        </w:rPr>
        <w:t>Dado lo anterior y utilizando el ca</w:t>
      </w:r>
      <w:r>
        <w:rPr>
          <w:rFonts w:ascii="Arial" w:hAnsi="Arial" w:cs="Arial"/>
        </w:rPr>
        <w:t>tá</w:t>
      </w:r>
      <w:r w:rsidRPr="008964A2">
        <w:rPr>
          <w:rFonts w:ascii="Arial" w:hAnsi="Arial" w:cs="Arial"/>
        </w:rPr>
        <w:t>logo correspondiente, se puede apreciar que el llenado para este campo</w:t>
      </w:r>
      <w:r>
        <w:rPr>
          <w:rFonts w:ascii="Arial" w:hAnsi="Arial" w:cs="Arial"/>
        </w:rPr>
        <w:t>, debe ser</w:t>
      </w:r>
      <w:r w:rsidRPr="008964A2">
        <w:rPr>
          <w:rFonts w:ascii="Arial" w:hAnsi="Arial" w:cs="Arial"/>
        </w:rPr>
        <w:t xml:space="preserve"> como sigue:</w:t>
      </w:r>
    </w:p>
    <w:tbl>
      <w:tblPr>
        <w:tblW w:w="7371" w:type="dxa"/>
        <w:tblInd w:w="1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7"/>
        <w:gridCol w:w="1559"/>
        <w:gridCol w:w="1418"/>
        <w:gridCol w:w="2977"/>
      </w:tblGrid>
      <w:tr w:rsidR="0057495B" w:rsidRPr="008964A2" w:rsidTr="00E00EEF">
        <w:trPr>
          <w:trHeight w:val="36"/>
        </w:trPr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495B" w:rsidRPr="00533FC6" w:rsidRDefault="0057495B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495B" w:rsidRPr="00533FC6" w:rsidRDefault="0057495B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495B" w:rsidRPr="00533FC6" w:rsidRDefault="0057495B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C6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495B" w:rsidRPr="00533FC6" w:rsidRDefault="0057495B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Campo 4</w:t>
            </w:r>
            <w:r w:rsidR="00F9659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D9147F">
              <w:rPr>
                <w:rFonts w:ascii="Arial" w:hAnsi="Arial" w:cs="Arial"/>
                <w:b/>
                <w:bCs/>
                <w:sz w:val="16"/>
                <w:szCs w:val="16"/>
              </w:rPr>
              <w:t>Enajenación de Bienes Muebles</w:t>
            </w: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7495B" w:rsidRPr="001F20E9" w:rsidTr="00E00EEF">
        <w:trPr>
          <w:trHeight w:val="36"/>
        </w:trPr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495B" w:rsidRPr="008964A2" w:rsidRDefault="00F059F4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SOFÍA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495B" w:rsidRPr="008964A2" w:rsidRDefault="00F059F4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MARTÍNEZ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495B" w:rsidRPr="008964A2" w:rsidRDefault="00F059F4" w:rsidP="00E0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CHAGOYA</w:t>
            </w:r>
          </w:p>
        </w:tc>
        <w:tc>
          <w:tcPr>
            <w:tcW w:w="29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7495B" w:rsidRPr="0057495B" w:rsidRDefault="0057495B" w:rsidP="00E00EE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7495B">
              <w:rPr>
                <w:rFonts w:ascii="Arial" w:hAnsi="Arial" w:cs="Arial"/>
                <w:b/>
                <w:sz w:val="16"/>
                <w:szCs w:val="16"/>
              </w:rPr>
              <w:t>B5</w:t>
            </w:r>
            <w:r w:rsidR="00C204D2">
              <w:rPr>
                <w:rFonts w:ascii="Arial" w:hAnsi="Arial" w:cs="Arial"/>
                <w:b/>
                <w:sz w:val="16"/>
                <w:szCs w:val="16"/>
              </w:rPr>
              <w:t>,E6</w:t>
            </w:r>
          </w:p>
        </w:tc>
      </w:tr>
    </w:tbl>
    <w:p w:rsidR="0057495B" w:rsidRDefault="0057495B" w:rsidP="00DE7210">
      <w:pPr>
        <w:jc w:val="both"/>
        <w:rPr>
          <w:rFonts w:cs="Arial"/>
        </w:rPr>
      </w:pPr>
    </w:p>
    <w:p w:rsidR="00DC19F6" w:rsidRPr="00DC19F6" w:rsidRDefault="00DC19F6" w:rsidP="006D17A5">
      <w:pPr>
        <w:pStyle w:val="Prrafodelista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 w:rsidRPr="00DC19F6">
        <w:rPr>
          <w:rFonts w:ascii="Arial" w:hAnsi="Arial" w:cs="Arial"/>
          <w:b/>
        </w:rPr>
        <w:t>Campo 4</w:t>
      </w:r>
      <w:r w:rsidR="00774EA8">
        <w:rPr>
          <w:rFonts w:ascii="Arial" w:hAnsi="Arial" w:cs="Arial"/>
          <w:b/>
        </w:rPr>
        <w:t>7</w:t>
      </w:r>
      <w:r w:rsidR="00D32970" w:rsidRPr="00DC19F6">
        <w:rPr>
          <w:rFonts w:ascii="Arial" w:hAnsi="Arial" w:cs="Arial"/>
          <w:b/>
        </w:rPr>
        <w:t xml:space="preserve">: </w:t>
      </w:r>
      <w:r w:rsidR="002807A8" w:rsidRPr="002807A8">
        <w:rPr>
          <w:rFonts w:ascii="Arial" w:hAnsi="Arial" w:cs="Arial"/>
          <w:b/>
        </w:rPr>
        <w:t>Asignación y emisión de dictámenes en materia de avalúos y justipreciación de rentas</w:t>
      </w:r>
      <w:r w:rsidRPr="00DC19F6">
        <w:rPr>
          <w:rFonts w:ascii="Arial" w:hAnsi="Arial" w:cs="Arial"/>
          <w:b/>
        </w:rPr>
        <w:t xml:space="preserve">. </w:t>
      </w:r>
    </w:p>
    <w:p w:rsidR="00DC19F6" w:rsidRDefault="00DC19F6" w:rsidP="00DC19F6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D32970" w:rsidRPr="006C5C6D" w:rsidRDefault="00DC19F6" w:rsidP="002807A8">
      <w:pPr>
        <w:pStyle w:val="Prrafode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2970" w:rsidRPr="00DC19F6">
        <w:rPr>
          <w:rFonts w:ascii="Arial" w:hAnsi="Arial" w:cs="Arial"/>
        </w:rPr>
        <w:t xml:space="preserve">e debe identificar el nivel de responsabilidad de los servidores públicos en función de su participación en los “objetos de responsabilidad” del catálogo de </w:t>
      </w:r>
      <w:r w:rsidR="006C5C6D" w:rsidRPr="006C5C6D">
        <w:rPr>
          <w:rFonts w:ascii="Arial" w:hAnsi="Arial" w:cs="Arial"/>
        </w:rPr>
        <w:t xml:space="preserve">asignación y emisión de dictámenes en materia de avalúos y justipreciación de rentas. </w:t>
      </w:r>
      <w:r w:rsidR="00D32970" w:rsidRPr="006C5C6D">
        <w:rPr>
          <w:rFonts w:ascii="Arial" w:hAnsi="Arial" w:cs="Arial"/>
        </w:rPr>
        <w:t xml:space="preserve">(Anexo </w:t>
      </w:r>
      <w:r w:rsidRPr="006C5C6D">
        <w:rPr>
          <w:rFonts w:ascii="Arial" w:hAnsi="Arial" w:cs="Arial"/>
        </w:rPr>
        <w:t>4</w:t>
      </w:r>
      <w:r w:rsidR="00D32970" w:rsidRPr="006C5C6D">
        <w:rPr>
          <w:rFonts w:ascii="Arial" w:hAnsi="Arial" w:cs="Arial"/>
        </w:rPr>
        <w:t>).</w:t>
      </w:r>
    </w:p>
    <w:p w:rsidR="00D32970" w:rsidRPr="00626014" w:rsidRDefault="00D32970" w:rsidP="00D32970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e</w:t>
      </w:r>
      <w:r w:rsidRPr="00626014">
        <w:rPr>
          <w:rFonts w:ascii="Arial" w:hAnsi="Arial" w:cs="Arial"/>
          <w:b/>
        </w:rPr>
        <w:t>jemplo de construcción del registro:</w:t>
      </w:r>
    </w:p>
    <w:p w:rsidR="00F67C3D" w:rsidRDefault="003E76A5" w:rsidP="002807A8">
      <w:pPr>
        <w:pStyle w:val="Prrafode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Suponiendo</w:t>
      </w:r>
      <w:r w:rsidR="00D32970" w:rsidRPr="008964A2">
        <w:rPr>
          <w:rFonts w:ascii="Arial" w:hAnsi="Arial" w:cs="Arial"/>
        </w:rPr>
        <w:t xml:space="preserve"> que el servidor público </w:t>
      </w:r>
      <w:r w:rsidR="000269FA">
        <w:rPr>
          <w:rFonts w:ascii="Arial" w:hAnsi="Arial" w:cs="Arial"/>
        </w:rPr>
        <w:t>David Cruz</w:t>
      </w:r>
      <w:r w:rsidR="000269FA" w:rsidRPr="008964A2">
        <w:rPr>
          <w:rFonts w:ascii="Arial" w:hAnsi="Arial" w:cs="Arial"/>
        </w:rPr>
        <w:t xml:space="preserve"> </w:t>
      </w:r>
      <w:r w:rsidR="000269FA">
        <w:rPr>
          <w:rFonts w:ascii="Arial" w:hAnsi="Arial" w:cs="Arial"/>
        </w:rPr>
        <w:t>Domínguez</w:t>
      </w:r>
      <w:r w:rsidR="00D32970" w:rsidRPr="008964A2">
        <w:rPr>
          <w:rFonts w:ascii="Arial" w:hAnsi="Arial" w:cs="Arial"/>
        </w:rPr>
        <w:t xml:space="preserve"> q</w:t>
      </w:r>
      <w:r w:rsidR="006C5C6D">
        <w:rPr>
          <w:rFonts w:ascii="Arial" w:hAnsi="Arial" w:cs="Arial"/>
        </w:rPr>
        <w:t>ue labora en el INDAABIN</w:t>
      </w:r>
      <w:r w:rsidR="00D32970" w:rsidRPr="008964A2">
        <w:rPr>
          <w:rFonts w:ascii="Arial" w:hAnsi="Arial" w:cs="Arial"/>
        </w:rPr>
        <w:t xml:space="preserve">, tiene las siguientes responsabilidades dentro del catálogo </w:t>
      </w:r>
      <w:r w:rsidR="00F67C3D">
        <w:rPr>
          <w:rFonts w:ascii="Arial" w:hAnsi="Arial" w:cs="Arial"/>
        </w:rPr>
        <w:t xml:space="preserve">de </w:t>
      </w:r>
      <w:r w:rsidR="00F67C3D" w:rsidRPr="00F67C3D">
        <w:rPr>
          <w:rFonts w:ascii="Arial" w:hAnsi="Arial" w:cs="Arial"/>
        </w:rPr>
        <w:t>asignación y emisión de dictámenes en materia de avalú</w:t>
      </w:r>
      <w:r w:rsidR="00F67C3D">
        <w:rPr>
          <w:rFonts w:ascii="Arial" w:hAnsi="Arial" w:cs="Arial"/>
        </w:rPr>
        <w:t>os y justipreciación de rentas:</w:t>
      </w:r>
    </w:p>
    <w:p w:rsidR="00F67C3D" w:rsidRPr="00F67C3D" w:rsidRDefault="00F67C3D" w:rsidP="00F67C3D">
      <w:pPr>
        <w:pStyle w:val="Prrafodelista"/>
        <w:ind w:left="426"/>
        <w:jc w:val="both"/>
        <w:rPr>
          <w:rFonts w:ascii="Arial" w:hAnsi="Arial" w:cs="Arial"/>
        </w:rPr>
      </w:pPr>
    </w:p>
    <w:p w:rsidR="00D32970" w:rsidRDefault="00F67C3D" w:rsidP="00D329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Elabora</w:t>
      </w:r>
      <w:r>
        <w:rPr>
          <w:rFonts w:ascii="Arial" w:hAnsi="Arial" w:cs="Arial"/>
        </w:rPr>
        <w:t xml:space="preserve"> la propuesta de asignación de un avalúo. </w:t>
      </w:r>
    </w:p>
    <w:p w:rsidR="003760EA" w:rsidRDefault="003760EA" w:rsidP="00D329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Firma </w:t>
      </w:r>
      <w:r w:rsidRPr="003760EA">
        <w:rPr>
          <w:rFonts w:ascii="Arial" w:hAnsi="Arial" w:cs="Arial"/>
        </w:rPr>
        <w:t>la propuesta de asignación de un avalúo.</w:t>
      </w:r>
    </w:p>
    <w:p w:rsidR="00D32970" w:rsidRPr="008964A2" w:rsidRDefault="00F67C3D" w:rsidP="00D3297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Emite</w:t>
      </w:r>
      <w:r w:rsidR="006509B4">
        <w:rPr>
          <w:rFonts w:ascii="Arial" w:hAnsi="Arial" w:cs="Arial"/>
          <w:b/>
        </w:rPr>
        <w:t xml:space="preserve"> o suscribe</w:t>
      </w:r>
      <w:r>
        <w:rPr>
          <w:rFonts w:ascii="Arial" w:hAnsi="Arial" w:cs="Arial"/>
        </w:rPr>
        <w:t xml:space="preserve"> el dictamen valuatorio.</w:t>
      </w:r>
    </w:p>
    <w:p w:rsidR="00CF7EF8" w:rsidRDefault="00CF7EF8" w:rsidP="00D32970">
      <w:pPr>
        <w:ind w:left="426"/>
        <w:jc w:val="both"/>
        <w:rPr>
          <w:rFonts w:ascii="Arial" w:hAnsi="Arial" w:cs="Arial"/>
        </w:rPr>
      </w:pPr>
    </w:p>
    <w:p w:rsidR="00CF7EF8" w:rsidRDefault="00CF7EF8" w:rsidP="00D32970">
      <w:pPr>
        <w:ind w:left="426"/>
        <w:jc w:val="both"/>
        <w:rPr>
          <w:rFonts w:ascii="Arial" w:hAnsi="Arial" w:cs="Arial"/>
        </w:rPr>
      </w:pPr>
    </w:p>
    <w:p w:rsidR="00D32970" w:rsidRDefault="00D32970" w:rsidP="00D32970">
      <w:pPr>
        <w:ind w:left="426"/>
        <w:jc w:val="both"/>
        <w:rPr>
          <w:rFonts w:ascii="Arial" w:hAnsi="Arial" w:cs="Arial"/>
        </w:rPr>
      </w:pPr>
      <w:r w:rsidRPr="008964A2">
        <w:rPr>
          <w:rFonts w:ascii="Arial" w:hAnsi="Arial" w:cs="Arial"/>
        </w:rPr>
        <w:lastRenderedPageBreak/>
        <w:t>Dado lo anterior y utilizando el ca</w:t>
      </w:r>
      <w:r>
        <w:rPr>
          <w:rFonts w:ascii="Arial" w:hAnsi="Arial" w:cs="Arial"/>
        </w:rPr>
        <w:t>tá</w:t>
      </w:r>
      <w:r w:rsidRPr="008964A2">
        <w:rPr>
          <w:rFonts w:ascii="Arial" w:hAnsi="Arial" w:cs="Arial"/>
        </w:rPr>
        <w:t>logo correspondiente, se puede apreciar que el llenado para este campo</w:t>
      </w:r>
      <w:r w:rsidR="006509B4">
        <w:rPr>
          <w:rFonts w:ascii="Arial" w:hAnsi="Arial" w:cs="Arial"/>
        </w:rPr>
        <w:t>, debe ser</w:t>
      </w:r>
      <w:r w:rsidRPr="008964A2">
        <w:rPr>
          <w:rFonts w:ascii="Arial" w:hAnsi="Arial" w:cs="Arial"/>
        </w:rPr>
        <w:t>:</w:t>
      </w:r>
    </w:p>
    <w:tbl>
      <w:tblPr>
        <w:tblW w:w="6840" w:type="dxa"/>
        <w:tblInd w:w="15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4"/>
        <w:gridCol w:w="1474"/>
        <w:gridCol w:w="1477"/>
        <w:gridCol w:w="2495"/>
      </w:tblGrid>
      <w:tr w:rsidR="00D32970" w:rsidRPr="008964A2" w:rsidTr="00216E75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970" w:rsidRPr="008964A2" w:rsidRDefault="00D32970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970" w:rsidRPr="008964A2" w:rsidRDefault="00D32970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970" w:rsidRPr="008964A2" w:rsidRDefault="00D32970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4A2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970" w:rsidRPr="008964A2" w:rsidRDefault="00E63479" w:rsidP="0028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Campo </w:t>
            </w:r>
            <w:r w:rsidR="002807A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F9659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2807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(A</w:t>
            </w:r>
            <w:r w:rsidR="002807A8" w:rsidRPr="002807A8">
              <w:rPr>
                <w:rFonts w:ascii="Arial" w:hAnsi="Arial" w:cs="Arial"/>
                <w:b/>
                <w:bCs/>
                <w:sz w:val="16"/>
                <w:szCs w:val="16"/>
              </w:rPr>
              <w:t>signación y emisión de dictámenes en materia de avalúos y justipreciación de rentas</w:t>
            </w:r>
            <w:r w:rsidR="002807A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D32970" w:rsidRPr="008964A2" w:rsidTr="00216E75">
        <w:trPr>
          <w:trHeight w:val="36"/>
        </w:trPr>
        <w:tc>
          <w:tcPr>
            <w:tcW w:w="1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970" w:rsidRPr="008964A2" w:rsidRDefault="000269FA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</w:t>
            </w:r>
          </w:p>
        </w:tc>
        <w:tc>
          <w:tcPr>
            <w:tcW w:w="14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970" w:rsidRPr="008964A2" w:rsidRDefault="000269FA" w:rsidP="0021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CRUZ</w:t>
            </w:r>
          </w:p>
        </w:tc>
        <w:tc>
          <w:tcPr>
            <w:tcW w:w="1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32970" w:rsidRPr="008964A2" w:rsidRDefault="000269FA" w:rsidP="003E7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DOMÍNGUEZ</w:t>
            </w:r>
          </w:p>
        </w:tc>
        <w:tc>
          <w:tcPr>
            <w:tcW w:w="24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32970" w:rsidRPr="002807A8" w:rsidRDefault="006509B4" w:rsidP="006509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7A8"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6A1E37" w:rsidRPr="002807A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C6CB3" w:rsidRPr="002807A8">
              <w:rPr>
                <w:rFonts w:ascii="Arial" w:hAnsi="Arial" w:cs="Arial"/>
                <w:b/>
                <w:sz w:val="16"/>
                <w:szCs w:val="16"/>
              </w:rPr>
              <w:t>C1,</w:t>
            </w:r>
            <w:r w:rsidRPr="002807A8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</w:tr>
    </w:tbl>
    <w:p w:rsidR="0082331B" w:rsidRDefault="0082331B" w:rsidP="00E63479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8D4FE4" w:rsidRDefault="008D4FE4" w:rsidP="0054793D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Integración del archivo de información básica en el sistema del RUSP.</w:t>
      </w:r>
    </w:p>
    <w:p w:rsidR="00774EA8" w:rsidRDefault="00CC622E" w:rsidP="00774EA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operador RUSP con la información recibida por parte de </w:t>
      </w:r>
      <w:r w:rsidR="00C969A5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áreas que resulten responsables de identificar y clasificar los niveles de responsabilidad de los servidores públicos, procederá a integrar los siguientes campos: </w:t>
      </w:r>
    </w:p>
    <w:p w:rsidR="00774EA8" w:rsidRPr="00E63479" w:rsidRDefault="00774EA8" w:rsidP="00774EA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E63479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</w:t>
      </w:r>
      <w:r w:rsidRPr="00E63479">
        <w:rPr>
          <w:rFonts w:ascii="Arial" w:hAnsi="Arial" w:cs="Arial"/>
        </w:rPr>
        <w:t>(</w:t>
      </w:r>
      <w:r>
        <w:rPr>
          <w:rFonts w:ascii="Arial" w:hAnsi="Arial" w:cs="Arial"/>
        </w:rPr>
        <w:t>Área</w:t>
      </w:r>
      <w:r w:rsidRPr="00E63479">
        <w:rPr>
          <w:rFonts w:ascii="Arial" w:hAnsi="Arial" w:cs="Arial"/>
        </w:rPr>
        <w:t>)</w:t>
      </w:r>
    </w:p>
    <w:p w:rsidR="00774EA8" w:rsidRPr="00E63479" w:rsidRDefault="00774EA8" w:rsidP="00774EA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E63479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E63479">
        <w:rPr>
          <w:rFonts w:ascii="Arial" w:hAnsi="Arial" w:cs="Arial"/>
        </w:rPr>
        <w:t>(Contrataciones Públicas)</w:t>
      </w:r>
    </w:p>
    <w:p w:rsidR="00774EA8" w:rsidRPr="00E63479" w:rsidRDefault="00774EA8" w:rsidP="00774EA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E63479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Pr="00E63479">
        <w:rPr>
          <w:rFonts w:ascii="Arial" w:hAnsi="Arial" w:cs="Arial"/>
        </w:rPr>
        <w:t>(</w:t>
      </w:r>
      <w:r w:rsidRPr="00814205">
        <w:rPr>
          <w:rFonts w:ascii="Arial" w:hAnsi="Arial" w:cs="Arial"/>
        </w:rPr>
        <w:t>Concesiones, licencias, autorizaciones, permisos y sus prórrogas</w:t>
      </w:r>
      <w:r w:rsidRPr="00E63479">
        <w:rPr>
          <w:rFonts w:ascii="Arial" w:hAnsi="Arial" w:cs="Arial"/>
        </w:rPr>
        <w:t>)</w:t>
      </w:r>
    </w:p>
    <w:p w:rsidR="00774EA8" w:rsidRDefault="00774EA8" w:rsidP="00774EA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E63479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</w:t>
      </w:r>
      <w:r w:rsidRPr="00E63479">
        <w:rPr>
          <w:rFonts w:ascii="Arial" w:hAnsi="Arial" w:cs="Arial"/>
        </w:rPr>
        <w:t>(Enajenación de Bienes Muebles)</w:t>
      </w:r>
    </w:p>
    <w:p w:rsidR="00774EA8" w:rsidRPr="00911033" w:rsidRDefault="00774EA8" w:rsidP="00774EA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814205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(</w:t>
      </w:r>
      <w:r w:rsidRPr="00814205">
        <w:rPr>
          <w:rFonts w:ascii="Arial" w:hAnsi="Arial" w:cs="Arial"/>
        </w:rPr>
        <w:t>Asignación y emisión de dictámenes en materia de avalúos y justipreciación de rentas</w:t>
      </w:r>
      <w:r>
        <w:rPr>
          <w:rFonts w:ascii="Arial" w:hAnsi="Arial" w:cs="Arial"/>
        </w:rPr>
        <w:t>)</w:t>
      </w:r>
      <w:r w:rsidRPr="00814205">
        <w:rPr>
          <w:rFonts w:ascii="Arial" w:hAnsi="Arial" w:cs="Arial"/>
        </w:rPr>
        <w:t>.</w:t>
      </w:r>
      <w:r w:rsidRPr="00814205">
        <w:rPr>
          <w:rFonts w:ascii="Arial" w:hAnsi="Arial" w:cs="Arial"/>
          <w:b/>
        </w:rPr>
        <w:t xml:space="preserve"> </w:t>
      </w:r>
    </w:p>
    <w:p w:rsidR="003E20FA" w:rsidRPr="00B554ED" w:rsidRDefault="003E20FA" w:rsidP="003C2B5A">
      <w:pPr>
        <w:ind w:firstLine="426"/>
        <w:jc w:val="both"/>
        <w:rPr>
          <w:rFonts w:ascii="Arial" w:hAnsi="Arial" w:cs="Arial"/>
          <w:b/>
        </w:rPr>
      </w:pPr>
      <w:r w:rsidRPr="00B554ED">
        <w:rPr>
          <w:rFonts w:ascii="Arial" w:hAnsi="Arial" w:cs="Arial"/>
          <w:b/>
        </w:rPr>
        <w:t>Ejemplo de construcción del archivo completo de información básica:</w:t>
      </w:r>
    </w:p>
    <w:p w:rsidR="003E20FA" w:rsidRDefault="003E20FA" w:rsidP="000A3F91">
      <w:pPr>
        <w:jc w:val="both"/>
        <w:rPr>
          <w:rFonts w:cs="Arial"/>
          <w:sz w:val="14"/>
          <w:szCs w:val="14"/>
        </w:rPr>
      </w:pPr>
    </w:p>
    <w:tbl>
      <w:tblPr>
        <w:tblW w:w="11482" w:type="dxa"/>
        <w:tblInd w:w="-7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5"/>
        <w:gridCol w:w="992"/>
        <w:gridCol w:w="1134"/>
        <w:gridCol w:w="850"/>
        <w:gridCol w:w="1276"/>
        <w:gridCol w:w="2126"/>
        <w:gridCol w:w="1560"/>
        <w:gridCol w:w="2409"/>
      </w:tblGrid>
      <w:tr w:rsidR="00774EA8" w:rsidRPr="000E1D32" w:rsidTr="00D47325">
        <w:trPr>
          <w:trHeight w:val="755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4EA8" w:rsidRPr="000E1D32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4EA8" w:rsidRPr="000E1D32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4EA8" w:rsidRPr="000E1D32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vAlign w:val="center"/>
          </w:tcPr>
          <w:p w:rsidR="00774EA8" w:rsidRPr="006515C0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Campo 43 (Área)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vAlign w:val="center"/>
          </w:tcPr>
          <w:p w:rsidR="00774EA8" w:rsidRPr="000E1D32" w:rsidRDefault="00774EA8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Campo 44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(Contrataciones públicas</w:t>
            </w: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vAlign w:val="center"/>
          </w:tcPr>
          <w:p w:rsidR="00774EA8" w:rsidRPr="000E1D32" w:rsidRDefault="00774EA8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Campo 45 </w:t>
            </w:r>
            <w:r w:rsidR="00D47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5059DE">
              <w:rPr>
                <w:rFonts w:ascii="Arial" w:hAnsi="Arial" w:cs="Arial"/>
                <w:b/>
                <w:bCs/>
                <w:sz w:val="16"/>
                <w:szCs w:val="16"/>
              </w:rPr>
              <w:t>Concesiones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CC622E">
              <w:rPr>
                <w:rFonts w:ascii="Arial" w:hAnsi="Arial" w:cs="Arial"/>
                <w:b/>
                <w:sz w:val="16"/>
                <w:szCs w:val="16"/>
              </w:rPr>
              <w:t>licencias, autorizaciones, permisos y sus prórrogas</w:t>
            </w: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vAlign w:val="center"/>
          </w:tcPr>
          <w:p w:rsidR="00774EA8" w:rsidRPr="000E1D32" w:rsidRDefault="00774EA8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Campo 46            (Enajenación de Bienes Muebles</w:t>
            </w: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4EA8" w:rsidRPr="000E1D32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ampo 47</w:t>
            </w: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73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CC622E">
              <w:rPr>
                <w:rFonts w:ascii="Arial" w:hAnsi="Arial" w:cs="Arial"/>
                <w:b/>
                <w:sz w:val="16"/>
                <w:szCs w:val="16"/>
              </w:rPr>
              <w:t>Asignación y emisión de dictámenes en materia de avalúos y justipreciación de rentas</w:t>
            </w:r>
            <w:r w:rsidRPr="000E1D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774EA8" w:rsidRPr="00355BD7" w:rsidTr="00D47325">
        <w:trPr>
          <w:trHeight w:val="491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4EA8" w:rsidRPr="00355BD7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BD7">
              <w:rPr>
                <w:rFonts w:ascii="Arial" w:hAnsi="Arial" w:cs="Arial"/>
                <w:sz w:val="16"/>
                <w:szCs w:val="16"/>
              </w:rPr>
              <w:t>JUAN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4EA8" w:rsidRPr="00355BD7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BD7">
              <w:rPr>
                <w:rFonts w:ascii="Arial" w:hAnsi="Arial" w:cs="Arial"/>
                <w:sz w:val="16"/>
                <w:szCs w:val="16"/>
              </w:rPr>
              <w:t>PEREZ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74EA8" w:rsidRPr="00355BD7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BD7">
              <w:rPr>
                <w:rFonts w:ascii="Arial" w:hAnsi="Arial" w:cs="Arial"/>
                <w:sz w:val="16"/>
                <w:szCs w:val="16"/>
              </w:rPr>
              <w:t>HERNANDEZ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774EA8" w:rsidRPr="00355BD7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774EA8" w:rsidRPr="00355BD7" w:rsidRDefault="00BC58F7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D3,A4,E5</w:t>
            </w:r>
            <w:r w:rsidR="00774EA8" w:rsidRPr="0004717C">
              <w:rPr>
                <w:rFonts w:ascii="Arial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74EA8" w:rsidRPr="006A1E37" w:rsidRDefault="00BC58F7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74EA8" w:rsidRPr="006A1E37" w:rsidRDefault="00BC58F7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EA8" w:rsidRPr="006A1E37" w:rsidRDefault="00BC58F7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</w:tr>
      <w:tr w:rsidR="00BC58F7" w:rsidRPr="00355BD7" w:rsidTr="00D47325">
        <w:trPr>
          <w:trHeight w:val="36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C58F7" w:rsidRPr="00355BD7" w:rsidRDefault="00BC58F7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C58F7" w:rsidRPr="00355BD7" w:rsidRDefault="00BC58F7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LÓPEZ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C58F7" w:rsidRPr="00355BD7" w:rsidRDefault="00BC58F7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JUÁREZ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BC58F7" w:rsidRDefault="00BC58F7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BC58F7" w:rsidRPr="00C132F2" w:rsidRDefault="00BC58F7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A2,C2,E6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58F7" w:rsidRPr="006A1E37" w:rsidRDefault="00BC58F7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58F7" w:rsidRPr="006A1E37" w:rsidRDefault="00BC58F7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C58F7" w:rsidRPr="006A1E37" w:rsidRDefault="00BC58F7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</w:tr>
      <w:tr w:rsidR="0052298C" w:rsidRPr="00355BD7" w:rsidTr="00D47325">
        <w:trPr>
          <w:trHeight w:val="101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2298C" w:rsidRPr="00355BD7" w:rsidRDefault="0052298C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2298C" w:rsidRPr="00355BD7" w:rsidRDefault="0052298C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2298C" w:rsidRPr="00355BD7" w:rsidRDefault="0052298C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52298C" w:rsidRDefault="0052298C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52298C" w:rsidRPr="00C132F2" w:rsidRDefault="0052298C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2298C" w:rsidRPr="006A1E37" w:rsidRDefault="0052298C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C1,D4,E5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2298C" w:rsidRPr="006A1E37" w:rsidRDefault="0052298C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2298C" w:rsidRPr="006A1E37" w:rsidRDefault="0052298C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</w:tr>
      <w:tr w:rsidR="00774EA8" w:rsidRPr="00355BD7" w:rsidTr="00D47325">
        <w:trPr>
          <w:trHeight w:val="101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4EA8" w:rsidRPr="00355BD7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BD7">
              <w:rPr>
                <w:rFonts w:ascii="Arial" w:hAnsi="Arial" w:cs="Arial"/>
                <w:sz w:val="16"/>
                <w:szCs w:val="16"/>
              </w:rPr>
              <w:t>ESMERALDA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4EA8" w:rsidRPr="00355BD7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BD7">
              <w:rPr>
                <w:rFonts w:ascii="Arial" w:hAnsi="Arial" w:cs="Arial"/>
                <w:sz w:val="16"/>
                <w:szCs w:val="16"/>
              </w:rPr>
              <w:t>HUERTA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4EA8" w:rsidRPr="00355BD7" w:rsidRDefault="00774EA8" w:rsidP="00F96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BD7">
              <w:rPr>
                <w:rFonts w:ascii="Arial" w:hAnsi="Arial" w:cs="Arial"/>
                <w:sz w:val="16"/>
                <w:szCs w:val="16"/>
              </w:rPr>
              <w:t>LOPEZ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774EA8" w:rsidRPr="00355BD7" w:rsidRDefault="0052298C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774EA8" w:rsidRPr="00355BD7" w:rsidRDefault="0052298C" w:rsidP="00F965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74EA8" w:rsidRPr="006A1E37" w:rsidRDefault="0052298C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A1,A4</w:t>
            </w:r>
            <w:r w:rsidRPr="006A1E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74EA8" w:rsidRPr="006A1E37" w:rsidRDefault="00774EA8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 xml:space="preserve">NULL  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74EA8" w:rsidRPr="006A1E37" w:rsidRDefault="0052298C" w:rsidP="00F9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</w:tr>
      <w:tr w:rsidR="0052298C" w:rsidRPr="00355BD7" w:rsidTr="00D47325">
        <w:trPr>
          <w:trHeight w:val="101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2298C" w:rsidRPr="00355BD7" w:rsidRDefault="0052298C" w:rsidP="00522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ROBERTO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2298C" w:rsidRPr="00355BD7" w:rsidRDefault="0052298C" w:rsidP="00522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GODÍNEZ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2298C" w:rsidRPr="00355BD7" w:rsidRDefault="0052298C" w:rsidP="00522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52298C" w:rsidRPr="006A1E37" w:rsidRDefault="0052298C" w:rsidP="00522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2298C" w:rsidRPr="006A1E37" w:rsidRDefault="0052298C" w:rsidP="00522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B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2298C" w:rsidRPr="006A1E37" w:rsidDel="0052298C" w:rsidRDefault="0052298C" w:rsidP="00522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B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2298C" w:rsidRPr="006A1E37" w:rsidRDefault="0052298C" w:rsidP="00522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B4,D4,A7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2298C" w:rsidRPr="006A1E37" w:rsidRDefault="0052298C" w:rsidP="005229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</w:tr>
      <w:tr w:rsidR="000269FA" w:rsidRPr="00355BD7" w:rsidTr="00D47325">
        <w:trPr>
          <w:trHeight w:val="101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269FA" w:rsidRPr="00355BD7" w:rsidRDefault="000269FA" w:rsidP="00F52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SOFÍA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269FA" w:rsidRPr="00355BD7" w:rsidRDefault="000269FA" w:rsidP="00F52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MARTÍNEZ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269FA" w:rsidRPr="00355BD7" w:rsidRDefault="000269FA" w:rsidP="00F52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CHAGOYA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0269FA" w:rsidRPr="006A1E37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269FA" w:rsidRPr="006A1E37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B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269FA" w:rsidRPr="006A1E37" w:rsidDel="0052298C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B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269FA" w:rsidRPr="006A1E37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B5,E6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269FA" w:rsidRPr="006A1E37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</w:tr>
      <w:tr w:rsidR="000269FA" w:rsidRPr="00355BD7" w:rsidTr="00D47325">
        <w:trPr>
          <w:trHeight w:val="101"/>
        </w:trPr>
        <w:tc>
          <w:tcPr>
            <w:tcW w:w="11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269FA" w:rsidRPr="00355BD7" w:rsidRDefault="000269FA" w:rsidP="00F52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269FA" w:rsidRPr="00355BD7" w:rsidRDefault="000269FA" w:rsidP="00F52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CRUZ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269FA" w:rsidRPr="00355BD7" w:rsidRDefault="000269FA" w:rsidP="00F52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DOMÍNGUEZ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bottom"/>
          </w:tcPr>
          <w:p w:rsidR="000269FA" w:rsidRPr="006A1E37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269FA" w:rsidRPr="006A1E37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B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269FA" w:rsidRPr="006A1E37" w:rsidDel="0052298C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B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269FA" w:rsidRPr="006A1E37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sz w:val="16"/>
                <w:szCs w:val="16"/>
              </w:rPr>
              <w:t>NULL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269FA" w:rsidRPr="006A1E37" w:rsidRDefault="000269FA" w:rsidP="00F52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A1,C1,E3</w:t>
            </w:r>
          </w:p>
        </w:tc>
      </w:tr>
    </w:tbl>
    <w:p w:rsidR="005F3F5D" w:rsidRDefault="005F3F5D" w:rsidP="00D47325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DF0F6D" w:rsidRPr="006A1E37" w:rsidRDefault="00DF0F6D" w:rsidP="00DF0F6D">
      <w:pPr>
        <w:ind w:firstLine="426"/>
        <w:jc w:val="both"/>
        <w:rPr>
          <w:rFonts w:ascii="Arial" w:hAnsi="Arial" w:cs="Arial"/>
          <w:sz w:val="16"/>
          <w:szCs w:val="16"/>
        </w:rPr>
      </w:pPr>
      <w:bookmarkStart w:id="1" w:name="OLE_LINK11"/>
      <w:bookmarkStart w:id="2" w:name="OLE_LINK12"/>
    </w:p>
    <w:bookmarkEnd w:id="1"/>
    <w:bookmarkEnd w:id="2"/>
    <w:p w:rsidR="00DF0F6D" w:rsidRDefault="00DF0F6D" w:rsidP="00D47325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DF0F6D" w:rsidRDefault="00DF0F6D" w:rsidP="00D47325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DF0F6D" w:rsidRDefault="00DF0F6D" w:rsidP="00D47325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DF0F6D" w:rsidRPr="00911033" w:rsidRDefault="00DF0F6D" w:rsidP="00DF0F6D">
      <w:pPr>
        <w:ind w:firstLine="426"/>
        <w:jc w:val="both"/>
        <w:rPr>
          <w:rFonts w:ascii="Arial" w:hAnsi="Arial" w:cs="Arial"/>
          <w:b/>
        </w:rPr>
      </w:pPr>
      <w:r w:rsidRPr="00911033">
        <w:rPr>
          <w:rFonts w:ascii="Arial" w:hAnsi="Arial" w:cs="Arial"/>
          <w:b/>
        </w:rPr>
        <w:lastRenderedPageBreak/>
        <w:t>Ejemplo de construcción del archivo completo de información básica en .txt:</w:t>
      </w:r>
    </w:p>
    <w:p w:rsidR="00DF0F6D" w:rsidRDefault="00DF0F6D" w:rsidP="00D47325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D47325" w:rsidRPr="00911033" w:rsidRDefault="00D47325" w:rsidP="00D47325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911033">
        <w:rPr>
          <w:rFonts w:ascii="Arial" w:hAnsi="Arial" w:cs="Arial"/>
          <w:b/>
          <w:sz w:val="16"/>
          <w:szCs w:val="16"/>
        </w:rPr>
        <w:t xml:space="preserve">CAMPOS: </w:t>
      </w:r>
      <w:r w:rsidRPr="00911033">
        <w:rPr>
          <w:rFonts w:ascii="Arial" w:hAnsi="Arial" w:cs="Arial"/>
          <w:sz w:val="16"/>
          <w:szCs w:val="16"/>
        </w:rPr>
        <w:t>1|2|3|4|5|...|20|JUAN|PEREZ|HERNANDEZ|24|25|26|...|42|1|D3,A4,E5</w:t>
      </w:r>
      <w:r w:rsidRPr="00911033">
        <w:rPr>
          <w:rFonts w:ascii="Arial" w:hAnsi="Arial" w:cs="Arial"/>
          <w:sz w:val="13"/>
          <w:szCs w:val="13"/>
        </w:rPr>
        <w:t xml:space="preserve"> 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NULL|</w:t>
      </w:r>
      <w:r w:rsidRPr="00911033">
        <w:rPr>
          <w:rFonts w:ascii="Arial" w:hAnsi="Arial" w:cs="Arial"/>
          <w:sz w:val="16"/>
          <w:szCs w:val="16"/>
        </w:rPr>
        <w:t xml:space="preserve"> NULL|</w:t>
      </w:r>
      <w:r>
        <w:rPr>
          <w:rFonts w:ascii="Arial" w:hAnsi="Arial" w:cs="Arial"/>
          <w:sz w:val="16"/>
          <w:szCs w:val="16"/>
        </w:rPr>
        <w:t xml:space="preserve"> NULL</w:t>
      </w:r>
    </w:p>
    <w:p w:rsidR="00D47325" w:rsidRPr="006A1E37" w:rsidRDefault="00D47325" w:rsidP="00D47325">
      <w:pPr>
        <w:ind w:firstLine="426"/>
        <w:jc w:val="both"/>
        <w:rPr>
          <w:rFonts w:ascii="Arial" w:hAnsi="Arial" w:cs="Arial"/>
          <w:sz w:val="16"/>
          <w:szCs w:val="16"/>
        </w:rPr>
      </w:pPr>
      <w:bookmarkStart w:id="3" w:name="OLE_LINK5"/>
      <w:bookmarkStart w:id="4" w:name="OLE_LINK6"/>
      <w:r w:rsidRPr="00911033">
        <w:rPr>
          <w:rFonts w:ascii="Arial" w:hAnsi="Arial" w:cs="Arial"/>
          <w:b/>
          <w:sz w:val="16"/>
          <w:szCs w:val="16"/>
        </w:rPr>
        <w:t>CAMPOS:</w:t>
      </w:r>
      <w:r w:rsidRPr="00911033">
        <w:rPr>
          <w:rFonts w:ascii="Arial" w:hAnsi="Arial" w:cs="Arial"/>
          <w:sz w:val="16"/>
          <w:szCs w:val="16"/>
        </w:rPr>
        <w:t>1|2|3|4|5|..|20|PEDRO|LOPEZ|JUAREZ|24|25|26|..|42|1,2|A2,C2,E6|NULL|NULL|</w:t>
      </w:r>
      <w:r>
        <w:rPr>
          <w:rFonts w:ascii="Arial" w:hAnsi="Arial" w:cs="Arial"/>
          <w:sz w:val="16"/>
          <w:szCs w:val="16"/>
        </w:rPr>
        <w:t xml:space="preserve"> NULL</w:t>
      </w:r>
    </w:p>
    <w:p w:rsidR="00D47325" w:rsidRDefault="00D47325" w:rsidP="00D47325">
      <w:pPr>
        <w:ind w:firstLine="426"/>
        <w:jc w:val="both"/>
        <w:rPr>
          <w:rFonts w:ascii="Arial" w:hAnsi="Arial" w:cs="Arial"/>
          <w:sz w:val="16"/>
          <w:szCs w:val="16"/>
        </w:rPr>
      </w:pPr>
      <w:bookmarkStart w:id="5" w:name="OLE_LINK7"/>
      <w:bookmarkStart w:id="6" w:name="OLE_LINK8"/>
      <w:bookmarkEnd w:id="3"/>
      <w:bookmarkEnd w:id="4"/>
      <w:r w:rsidRPr="00911033">
        <w:rPr>
          <w:rFonts w:ascii="Arial" w:hAnsi="Arial" w:cs="Arial"/>
          <w:b/>
          <w:sz w:val="16"/>
          <w:szCs w:val="16"/>
        </w:rPr>
        <w:t>CAMPOS:</w:t>
      </w:r>
      <w:r w:rsidRPr="00911033">
        <w:rPr>
          <w:rFonts w:ascii="Arial" w:hAnsi="Arial" w:cs="Arial"/>
          <w:sz w:val="16"/>
          <w:szCs w:val="16"/>
        </w:rPr>
        <w:t>1|2|3|4|5|..|20|</w:t>
      </w:r>
      <w:r>
        <w:rPr>
          <w:rFonts w:ascii="Arial" w:hAnsi="Arial" w:cs="Arial"/>
          <w:sz w:val="16"/>
          <w:szCs w:val="16"/>
        </w:rPr>
        <w:t>ADOLFO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SANCHEZ</w:t>
      </w:r>
      <w:r w:rsidR="005F3F5D">
        <w:rPr>
          <w:rFonts w:ascii="Arial" w:hAnsi="Arial" w:cs="Arial"/>
          <w:sz w:val="16"/>
          <w:szCs w:val="16"/>
        </w:rPr>
        <w:t>|RUIZ</w:t>
      </w:r>
      <w:r w:rsidRPr="00911033">
        <w:rPr>
          <w:rFonts w:ascii="Arial" w:hAnsi="Arial" w:cs="Arial"/>
          <w:sz w:val="16"/>
          <w:szCs w:val="16"/>
        </w:rPr>
        <w:t>|24|25|26|..|42|</w:t>
      </w:r>
      <w:r w:rsidR="005F3F5D"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 w:rsidR="005F3F5D"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 w:rsidR="005F3F5D">
        <w:rPr>
          <w:rFonts w:ascii="Arial" w:hAnsi="Arial" w:cs="Arial"/>
          <w:sz w:val="16"/>
          <w:szCs w:val="16"/>
        </w:rPr>
        <w:t>C1,D4,E5|</w:t>
      </w:r>
      <w:r w:rsidRPr="00911033">
        <w:rPr>
          <w:rFonts w:ascii="Arial" w:hAnsi="Arial" w:cs="Arial"/>
          <w:sz w:val="16"/>
          <w:szCs w:val="16"/>
        </w:rPr>
        <w:t>NULL|NULL</w:t>
      </w:r>
    </w:p>
    <w:p w:rsidR="005F3F5D" w:rsidRPr="006A1E37" w:rsidRDefault="005F3F5D" w:rsidP="005F3F5D">
      <w:pPr>
        <w:ind w:firstLine="426"/>
        <w:jc w:val="both"/>
        <w:rPr>
          <w:rFonts w:ascii="Arial" w:hAnsi="Arial" w:cs="Arial"/>
          <w:sz w:val="16"/>
          <w:szCs w:val="16"/>
        </w:rPr>
      </w:pPr>
      <w:bookmarkStart w:id="7" w:name="OLE_LINK9"/>
      <w:bookmarkStart w:id="8" w:name="OLE_LINK10"/>
      <w:r w:rsidRPr="00911033">
        <w:rPr>
          <w:rFonts w:ascii="Arial" w:hAnsi="Arial" w:cs="Arial"/>
          <w:b/>
          <w:sz w:val="16"/>
          <w:szCs w:val="16"/>
        </w:rPr>
        <w:t>CAMPOS:</w:t>
      </w:r>
      <w:r w:rsidRPr="00911033">
        <w:rPr>
          <w:rFonts w:ascii="Arial" w:hAnsi="Arial" w:cs="Arial"/>
          <w:sz w:val="16"/>
          <w:szCs w:val="16"/>
        </w:rPr>
        <w:t>1|2|3|4|5|..|20|</w:t>
      </w:r>
      <w:r w:rsidR="00DF0F6D">
        <w:rPr>
          <w:rFonts w:ascii="Arial" w:hAnsi="Arial" w:cs="Arial"/>
          <w:sz w:val="16"/>
          <w:szCs w:val="16"/>
        </w:rPr>
        <w:t>ESMERALDA</w:t>
      </w:r>
      <w:r w:rsidRPr="00911033">
        <w:rPr>
          <w:rFonts w:ascii="Arial" w:hAnsi="Arial" w:cs="Arial"/>
          <w:sz w:val="16"/>
          <w:szCs w:val="16"/>
        </w:rPr>
        <w:t>|</w:t>
      </w:r>
      <w:r w:rsidR="00DF0F6D">
        <w:rPr>
          <w:rFonts w:ascii="Arial" w:hAnsi="Arial" w:cs="Arial"/>
          <w:sz w:val="16"/>
          <w:szCs w:val="16"/>
        </w:rPr>
        <w:t>HUERTA|LOPEZ|24</w:t>
      </w:r>
      <w:r w:rsidRPr="00911033">
        <w:rPr>
          <w:rFonts w:ascii="Arial" w:hAnsi="Arial" w:cs="Arial"/>
          <w:sz w:val="16"/>
          <w:szCs w:val="16"/>
        </w:rPr>
        <w:t>|25|26|..|42|</w:t>
      </w:r>
      <w:r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 w:rsidR="00DF0F6D">
        <w:rPr>
          <w:rFonts w:ascii="Arial" w:hAnsi="Arial" w:cs="Arial"/>
          <w:sz w:val="16"/>
          <w:szCs w:val="16"/>
        </w:rPr>
        <w:t>A1,A4</w:t>
      </w:r>
      <w:r>
        <w:rPr>
          <w:rFonts w:ascii="Arial" w:hAnsi="Arial" w:cs="Arial"/>
          <w:sz w:val="16"/>
          <w:szCs w:val="16"/>
        </w:rPr>
        <w:t>|</w:t>
      </w:r>
      <w:r w:rsidRPr="00911033">
        <w:rPr>
          <w:rFonts w:ascii="Arial" w:hAnsi="Arial" w:cs="Arial"/>
          <w:sz w:val="16"/>
          <w:szCs w:val="16"/>
        </w:rPr>
        <w:t>NULL|NULL</w:t>
      </w:r>
    </w:p>
    <w:bookmarkEnd w:id="7"/>
    <w:bookmarkEnd w:id="8"/>
    <w:p w:rsidR="00DF0F6D" w:rsidRDefault="00DF0F6D" w:rsidP="00DF0F6D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911033">
        <w:rPr>
          <w:rFonts w:ascii="Arial" w:hAnsi="Arial" w:cs="Arial"/>
          <w:b/>
          <w:sz w:val="16"/>
          <w:szCs w:val="16"/>
        </w:rPr>
        <w:t>CAMPOS:</w:t>
      </w:r>
      <w:r w:rsidRPr="00911033">
        <w:rPr>
          <w:rFonts w:ascii="Arial" w:hAnsi="Arial" w:cs="Arial"/>
          <w:sz w:val="16"/>
          <w:szCs w:val="16"/>
        </w:rPr>
        <w:t>1|2|3|4|5|..|20|</w:t>
      </w:r>
      <w:r>
        <w:rPr>
          <w:rFonts w:ascii="Arial" w:hAnsi="Arial" w:cs="Arial"/>
          <w:sz w:val="16"/>
          <w:szCs w:val="16"/>
        </w:rPr>
        <w:t>ROBERTO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GODINEZ|PAZ|24</w:t>
      </w:r>
      <w:r w:rsidRPr="00911033">
        <w:rPr>
          <w:rFonts w:ascii="Arial" w:hAnsi="Arial" w:cs="Arial"/>
          <w:sz w:val="16"/>
          <w:szCs w:val="16"/>
        </w:rPr>
        <w:t>|25|26|..|42|</w:t>
      </w:r>
      <w:r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NULL|B4,D4,A7</w:t>
      </w:r>
      <w:r w:rsidRPr="00911033">
        <w:rPr>
          <w:rFonts w:ascii="Arial" w:hAnsi="Arial" w:cs="Arial"/>
          <w:sz w:val="16"/>
          <w:szCs w:val="16"/>
        </w:rPr>
        <w:t>|NULL</w:t>
      </w:r>
    </w:p>
    <w:p w:rsidR="00DF0F6D" w:rsidRPr="006A1E37" w:rsidRDefault="00DF0F6D" w:rsidP="00DF0F6D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911033">
        <w:rPr>
          <w:rFonts w:ascii="Arial" w:hAnsi="Arial" w:cs="Arial"/>
          <w:b/>
          <w:sz w:val="16"/>
          <w:szCs w:val="16"/>
        </w:rPr>
        <w:t>CAMPOS:</w:t>
      </w:r>
      <w:r w:rsidRPr="00911033">
        <w:rPr>
          <w:rFonts w:ascii="Arial" w:hAnsi="Arial" w:cs="Arial"/>
          <w:sz w:val="16"/>
          <w:szCs w:val="16"/>
        </w:rPr>
        <w:t>1|2|3|4|5|..|20|</w:t>
      </w:r>
      <w:r>
        <w:rPr>
          <w:rFonts w:ascii="Arial" w:hAnsi="Arial" w:cs="Arial"/>
          <w:sz w:val="16"/>
          <w:szCs w:val="16"/>
        </w:rPr>
        <w:t>SOFIA|MARTINEZ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CHAGOYA|PAZ|24</w:t>
      </w:r>
      <w:r w:rsidRPr="00911033">
        <w:rPr>
          <w:rFonts w:ascii="Arial" w:hAnsi="Arial" w:cs="Arial"/>
          <w:sz w:val="16"/>
          <w:szCs w:val="16"/>
        </w:rPr>
        <w:t>|25|26|..|42|</w:t>
      </w:r>
      <w:r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NULL|B5,E6</w:t>
      </w:r>
      <w:r w:rsidRPr="00911033">
        <w:rPr>
          <w:rFonts w:ascii="Arial" w:hAnsi="Arial" w:cs="Arial"/>
          <w:sz w:val="16"/>
          <w:szCs w:val="16"/>
        </w:rPr>
        <w:t>|NULL</w:t>
      </w:r>
    </w:p>
    <w:p w:rsidR="00DF0F6D" w:rsidRPr="006A1E37" w:rsidRDefault="00DF0F6D" w:rsidP="00DF0F6D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911033">
        <w:rPr>
          <w:rFonts w:ascii="Arial" w:hAnsi="Arial" w:cs="Arial"/>
          <w:b/>
          <w:sz w:val="16"/>
          <w:szCs w:val="16"/>
        </w:rPr>
        <w:t>CAMPOS:</w:t>
      </w:r>
      <w:r w:rsidRPr="00911033">
        <w:rPr>
          <w:rFonts w:ascii="Arial" w:hAnsi="Arial" w:cs="Arial"/>
          <w:sz w:val="16"/>
          <w:szCs w:val="16"/>
        </w:rPr>
        <w:t>1|2|3|4|5|..|20|</w:t>
      </w:r>
      <w:r>
        <w:rPr>
          <w:rFonts w:ascii="Arial" w:hAnsi="Arial" w:cs="Arial"/>
          <w:sz w:val="16"/>
          <w:szCs w:val="16"/>
        </w:rPr>
        <w:t>DAVID|CRUZ|DOMINGUEZ|24</w:t>
      </w:r>
      <w:r w:rsidRPr="00911033">
        <w:rPr>
          <w:rFonts w:ascii="Arial" w:hAnsi="Arial" w:cs="Arial"/>
          <w:sz w:val="16"/>
          <w:szCs w:val="16"/>
        </w:rPr>
        <w:t>|25|26|..|42|</w:t>
      </w:r>
      <w:r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NULL</w:t>
      </w:r>
      <w:r w:rsidRPr="00911033">
        <w:rPr>
          <w:rFonts w:ascii="Arial" w:hAnsi="Arial" w:cs="Arial"/>
          <w:sz w:val="16"/>
          <w:szCs w:val="16"/>
        </w:rPr>
        <w:t>|</w:t>
      </w:r>
      <w:r>
        <w:rPr>
          <w:rFonts w:ascii="Arial" w:hAnsi="Arial" w:cs="Arial"/>
          <w:sz w:val="16"/>
          <w:szCs w:val="16"/>
        </w:rPr>
        <w:t>NULL|NULL|A1,C1,E3</w:t>
      </w:r>
    </w:p>
    <w:p w:rsidR="005F3F5D" w:rsidRPr="006A1E37" w:rsidRDefault="005F3F5D" w:rsidP="00D47325">
      <w:pPr>
        <w:ind w:firstLine="426"/>
        <w:jc w:val="both"/>
        <w:rPr>
          <w:rFonts w:ascii="Arial" w:hAnsi="Arial" w:cs="Arial"/>
          <w:sz w:val="16"/>
          <w:szCs w:val="16"/>
        </w:rPr>
      </w:pPr>
    </w:p>
    <w:bookmarkEnd w:id="5"/>
    <w:bookmarkEnd w:id="6"/>
    <w:p w:rsidR="00C132F2" w:rsidRDefault="00C132F2" w:rsidP="003C2B5A">
      <w:pPr>
        <w:ind w:firstLine="426"/>
        <w:jc w:val="both"/>
        <w:rPr>
          <w:rFonts w:ascii="Arial" w:hAnsi="Arial" w:cs="Arial"/>
          <w:b/>
        </w:rPr>
      </w:pPr>
    </w:p>
    <w:p w:rsidR="00056325" w:rsidRDefault="00056325" w:rsidP="003C2B5A">
      <w:pPr>
        <w:ind w:firstLine="426"/>
        <w:jc w:val="both"/>
        <w:rPr>
          <w:rFonts w:ascii="Arial" w:hAnsi="Arial" w:cs="Arial"/>
          <w:b/>
        </w:rPr>
      </w:pPr>
    </w:p>
    <w:p w:rsidR="00D47325" w:rsidRDefault="00D47325" w:rsidP="003C2B5A">
      <w:pPr>
        <w:ind w:firstLine="426"/>
        <w:jc w:val="both"/>
        <w:rPr>
          <w:rFonts w:ascii="Arial" w:hAnsi="Arial" w:cs="Arial"/>
          <w:b/>
        </w:rPr>
      </w:pPr>
    </w:p>
    <w:p w:rsidR="00D47325" w:rsidRDefault="00D47325" w:rsidP="003C2B5A">
      <w:pPr>
        <w:ind w:firstLine="426"/>
        <w:jc w:val="both"/>
        <w:rPr>
          <w:rFonts w:ascii="Arial" w:hAnsi="Arial" w:cs="Arial"/>
          <w:b/>
        </w:rPr>
      </w:pPr>
    </w:p>
    <w:p w:rsidR="00320811" w:rsidRPr="00911033" w:rsidRDefault="00320811" w:rsidP="000A3F91">
      <w:pPr>
        <w:jc w:val="both"/>
        <w:rPr>
          <w:rFonts w:cs="Arial"/>
          <w:sz w:val="16"/>
          <w:szCs w:val="16"/>
        </w:rPr>
      </w:pPr>
    </w:p>
    <w:p w:rsidR="00A52945" w:rsidRDefault="00A52945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52945" w:rsidRDefault="00A52945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52945" w:rsidRDefault="00A52945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DF0F6D" w:rsidRDefault="00DF0F6D" w:rsidP="00DF0F6D">
      <w:pPr>
        <w:jc w:val="both"/>
        <w:rPr>
          <w:rFonts w:ascii="Arial" w:hAnsi="Arial" w:cs="Arial"/>
          <w:sz w:val="16"/>
          <w:szCs w:val="16"/>
        </w:rPr>
      </w:pPr>
      <w:r w:rsidRPr="00690476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1</w:t>
      </w:r>
      <w:r w:rsidRPr="00690476">
        <w:rPr>
          <w:rFonts w:ascii="Arial" w:hAnsi="Arial" w:cs="Arial"/>
          <w:b/>
        </w:rPr>
        <w:t xml:space="preserve">. </w:t>
      </w:r>
      <w:r w:rsidRPr="00584A9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atálogo de Contrataciones Públicas.</w:t>
      </w:r>
    </w:p>
    <w:p w:rsidR="00CF7EF8" w:rsidRDefault="00CF7EF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52945" w:rsidRDefault="00A52945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52945" w:rsidRDefault="00A52945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4185B" w:rsidRDefault="0034185B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4185B" w:rsidRDefault="0034185B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0D4498" w:rsidRDefault="000D449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XSpec="center" w:tblpY="2329"/>
        <w:tblW w:w="11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5108"/>
        <w:gridCol w:w="562"/>
        <w:gridCol w:w="567"/>
        <w:gridCol w:w="993"/>
        <w:gridCol w:w="708"/>
        <w:gridCol w:w="851"/>
      </w:tblGrid>
      <w:tr w:rsidR="0003228A" w:rsidRPr="00644C3E" w:rsidTr="00560ACF">
        <w:trPr>
          <w:trHeight w:val="132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Identificador del objeto de la responsabilidad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Objeto de la responsabilidad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Elementos de orientación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  <w:lang w:eastAsia="es-MX"/>
              </w:rPr>
              <w:t>NIVELES DE RESPONSABILIDAD</w:t>
            </w:r>
          </w:p>
        </w:tc>
      </w:tr>
      <w:tr w:rsidR="0003228A" w:rsidRPr="00644C3E" w:rsidTr="00560ACF">
        <w:trPr>
          <w:trHeight w:val="12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ATENCIÓN  O TRAMITACIÓN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RESOLUCIÓN</w:t>
            </w:r>
          </w:p>
        </w:tc>
      </w:tr>
      <w:tr w:rsidR="0003228A" w:rsidRPr="00644C3E" w:rsidTr="00560ACF">
        <w:trPr>
          <w:trHeight w:val="493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Elaborar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Revisar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Firmar, autorizar o dictaminar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(C)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Supervisar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34185B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Emitir o </w:t>
            </w:r>
          </w:p>
          <w:p w:rsidR="0003228A" w:rsidRPr="0034185B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Suscribir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(E)</w:t>
            </w:r>
          </w:p>
        </w:tc>
      </w:tr>
      <w:tr w:rsidR="0003228A" w:rsidRPr="00E93001" w:rsidTr="00560ACF">
        <w:trPr>
          <w:trHeight w:val="3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Autorizaciones o dictámenes previos para llevar a cabo determinado procedimiento de contratación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Comprende, entre otros, los siguientes:</w:t>
            </w:r>
          </w:p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Dictamen sobre la viabilidad del proyecto de asociación público privada (LAPP, artículo 21).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el caso de las dependencias que integran la Comisión Intersecretarial de Gasto Público, Financiamiento y Desincorporación, incluye los documentos que sirvan de base para pronunciarse sobre la autorización del proyecto de asociación público privada y la autorización misma (LAPP, artículo 21).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 xml:space="preserve">Autorización del pago de servicios en los que no sea posible pactar que el costo sea cubierto después de la prestación del servicio (LAASSP, artículo 13, último párrafo). 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Autorización del proyecto ejecutivo, incluyendo en su caso, el dictamen técnico que justifique que las obras son de gran complejidad (LOPSRM, artículo 24, último párrafo y RLOPSRM, artículo 23, segundo párrafo).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Dictamen de excepción a la licitación pública.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092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Tratándose de contrataciones sujetas a la LAASSP, los servidores públicos que integran el Comité de Adquisiciones, Arrendamientos y Servicios, incluyendo los asesores; el titular de la dependencia o entidad o aquel servidor público a quien delegue dicha función, o en los supuestos previstos en el artículo 41, segundo párrafo, el servidor público facultado del área requirente.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092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el caso de contrataciones regidas por la LOPSRM, los servidores públicos que integran el Comité de Obras Públicas, incluyendo sus asesores, y cuando no exista Comité, el titular de la dependencia o entidad o el oficial mayor o equivalente en el que hubiere delegado la facultad; en los supuestos previstos en el artículo 42, fracciones VI y VII, el servidor público facultado del área responsable de la contratación, y en los de las fracciones II, IV y V de dicho artículo, el servidor público facultado del área responsable de la ejecución de los trabajos.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092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relación a los proyectos de asociación público privada, el titular de la dependencia o entidad.</w:t>
            </w:r>
          </w:p>
          <w:p w:rsidR="0003228A" w:rsidRPr="00E93001" w:rsidRDefault="0003228A" w:rsidP="00560A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El escrito de autorización para realizar una adjudicación directa en lugar de una invitación a cuando menos tres personas, en el caso de las  contrataciones por monto al amparo de la LAASSP (artículo 42, párrafo segundo)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690476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  <w:p w:rsidR="0003228A" w:rsidRPr="00E93001" w:rsidRDefault="0003228A" w:rsidP="00560ACF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3228A" w:rsidRPr="00E93001" w:rsidTr="00560ACF">
        <w:trPr>
          <w:trHeight w:val="3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Justificación para excepción a la licitación pública.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Resulta aplicable solamente a las contrataciones al amparo de la LAASSP (artículo 40) y la LOPSRM (artículo 41).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FA1E89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03228A" w:rsidRPr="00E93001" w:rsidTr="00560ACF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Convocatoria, invitación o solicitud de cotización y, en su caso, bases del concurso (LAPP) y modificaciones.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 xml:space="preserve">Documento en el que se indiquen las razones de procedencia o improcedencia de incluir los comentarios formulados al proyecto de la convocatoria (aplicable solamente a las contrataciones al amparo de la LAASSP y la LOPSRM). 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el caso de contratos marco, se incluye el documento que establece los requisitos para formar parte de los mismos, que emite únicamente la Secretaría de la Función Pública.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Default="0003228A" w:rsidP="00560A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03228A" w:rsidRPr="00E93001" w:rsidTr="00560ACF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Evaluación de proposiciones.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los procedimientos de contratación regidos por la LOPSRM y la LAPP, la solicitud de aclaraciones de las proposiciones, o información adicional.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los procedimientos de contratación regidos por la LAASSP y la LOPSRM, deben considerarse los documentos que, en su caso, se elaboren para hacer constar el resultado de la evaluación de proposiciones, y sirvan de base para el fallo.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los procedimientos de contratación de proyectos de asociación público privada, debe incluirse el dictamen a que se refiere el artículo 55 de la LAPP.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Tratándose de contratos marco, se incluyen los documentos en los que conste el resultado de la revisión sobre el cumplimiento de los requisitos para formar parte de dichos contratos o adherirse mediante convenios de adhesión.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FA1E89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03228A" w:rsidRPr="00E93001" w:rsidTr="00560ACF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Adjudicación del contrato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 xml:space="preserve">En el caso de licitaciones públicas e invitaciones a cuando menos tres, el fallo. 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 xml:space="preserve">Tratándose de adjudicaciones directas, la notificación de la adjudicación. </w:t>
            </w:r>
          </w:p>
          <w:p w:rsidR="0003228A" w:rsidRPr="0034185B" w:rsidRDefault="0003228A" w:rsidP="00560AC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caso de celebrarse junta pública para dar a conocer el fallo, incluye también el acta respectiva.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Default="0003228A" w:rsidP="00560AC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FA1E89" w:rsidRDefault="0003228A" w:rsidP="00FA1E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 w:rsidRPr="004F6EFF"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</w:tr>
      <w:tr w:rsidR="0003228A" w:rsidRPr="00E93001" w:rsidTr="00560ACF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Formalización del contrato.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34185B" w:rsidRDefault="0003228A" w:rsidP="00560A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En materia de adquisiciones, arrendamientos y servicios deben de considerarse también los pedidos, conforme a lo dispuesto al artículo 45 de LAASSP.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28A" w:rsidRPr="00E93001" w:rsidRDefault="0003228A" w:rsidP="00560ACF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</w:tr>
    </w:tbl>
    <w:p w:rsidR="00A52945" w:rsidRDefault="00A52945" w:rsidP="00A52945">
      <w:pPr>
        <w:jc w:val="both"/>
        <w:rPr>
          <w:rFonts w:ascii="Arial" w:hAnsi="Arial" w:cs="Arial"/>
        </w:rPr>
      </w:pPr>
    </w:p>
    <w:p w:rsidR="00845331" w:rsidRDefault="00845331" w:rsidP="00845331">
      <w:pPr>
        <w:jc w:val="both"/>
        <w:rPr>
          <w:rFonts w:ascii="Arial" w:hAnsi="Arial" w:cs="Arial"/>
        </w:rPr>
      </w:pPr>
      <w:r w:rsidRPr="00690476">
        <w:rPr>
          <w:rFonts w:ascii="Arial" w:hAnsi="Arial" w:cs="Arial"/>
          <w:b/>
        </w:rPr>
        <w:lastRenderedPageBreak/>
        <w:t xml:space="preserve">Anexo 2. </w:t>
      </w:r>
      <w:r w:rsidR="00BA2D11">
        <w:rPr>
          <w:rFonts w:ascii="Arial" w:hAnsi="Arial" w:cs="Arial"/>
          <w:b/>
        </w:rPr>
        <w:t xml:space="preserve">Catálogo de </w:t>
      </w:r>
      <w:r w:rsidRPr="00584A97">
        <w:rPr>
          <w:rFonts w:ascii="Arial" w:hAnsi="Arial" w:cs="Arial"/>
          <w:b/>
        </w:rPr>
        <w:t>Concesiones, licencias, permisos, autorizaciones y sus prórrogas</w:t>
      </w:r>
      <w:r>
        <w:rPr>
          <w:rFonts w:ascii="Arial" w:hAnsi="Arial" w:cs="Arial"/>
          <w:b/>
        </w:rPr>
        <w:t>.</w:t>
      </w:r>
    </w:p>
    <w:p w:rsidR="000D4498" w:rsidRDefault="000D4498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5E6161" w:rsidRDefault="005E616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5E6161" w:rsidRDefault="005E616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5E6161" w:rsidRDefault="005E616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5E6161" w:rsidRDefault="005E616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616DBE" w:rsidRDefault="00616DBE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59424A" w:rsidRDefault="0059424A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930EA1" w:rsidRDefault="00930EA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XSpec="center" w:tblpY="2329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560"/>
        <w:gridCol w:w="5103"/>
        <w:gridCol w:w="567"/>
        <w:gridCol w:w="567"/>
        <w:gridCol w:w="992"/>
        <w:gridCol w:w="709"/>
        <w:gridCol w:w="850"/>
      </w:tblGrid>
      <w:tr w:rsidR="0003228A" w:rsidRPr="00644C3E" w:rsidTr="00560ACF">
        <w:trPr>
          <w:trHeight w:val="132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Identificador del objeto de la responsabilidad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Objeto de la responsabilidad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Elementos de orientación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  <w:lang w:eastAsia="es-MX"/>
              </w:rPr>
              <w:t>NIVELES DE RESPONSABILIDAD</w:t>
            </w:r>
          </w:p>
        </w:tc>
      </w:tr>
      <w:tr w:rsidR="0003228A" w:rsidRPr="00644C3E" w:rsidTr="00560ACF">
        <w:trPr>
          <w:trHeight w:val="120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ATENCIÓN  O TRAMITACIÓN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RESOLUCIÓN</w:t>
            </w:r>
          </w:p>
        </w:tc>
      </w:tr>
      <w:tr w:rsidR="0003228A" w:rsidRPr="00644C3E" w:rsidTr="00560ACF">
        <w:trPr>
          <w:trHeight w:val="493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Elaborar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Revisar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Firmar, autorizar o dictaminar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(C)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Supervisar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228A" w:rsidRPr="0034185B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Emitir o </w:t>
            </w:r>
          </w:p>
          <w:p w:rsidR="0003228A" w:rsidRPr="0034185B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Suscribir</w:t>
            </w:r>
          </w:p>
          <w:p w:rsidR="0003228A" w:rsidRPr="00644C3E" w:rsidRDefault="0003228A" w:rsidP="00560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(E)</w:t>
            </w:r>
          </w:p>
        </w:tc>
      </w:tr>
      <w:tr w:rsidR="00845331" w:rsidRPr="00E93001" w:rsidTr="00560ACF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Convocatoria a concurso o licitación o excitativa a presentar la solicitud de autorización.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 en el que consta la excitativa a presentar la solicitud de autorización cuando las disposiciones jurídicas prevean este mecanismo para dar inicio al procedimiento de autorización o permiso (por ejemplo en el caso de la manifestación de impacto ambiental).</w:t>
            </w:r>
          </w:p>
          <w:p w:rsidR="00845331" w:rsidRPr="00F82CD7" w:rsidRDefault="00845331" w:rsidP="008453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 en que constan la convocatoria, las bases de licitación o concurso, cuando las disposiciones jurídicas prevean a dichos procedimientos para el otorgamiento de la concesión, licencia, autorización o permiso.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845331" w:rsidRPr="00E93001" w:rsidTr="00560ACF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Dictámenes u opiniones previos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que, en su caso, se elaboren para hacer constar el resultado de una opinión o dictamen necesario para la evaluación.</w:t>
            </w:r>
          </w:p>
          <w:p w:rsidR="00845331" w:rsidRPr="00F82CD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En el caso de que la opinión o dictamen deba ser emitida por otra dependencia o entidad distinta a la que compete resolver sobre la autorización o permiso, incluye el documento en el que conste dicho dictamen u opinión.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845331" w:rsidRPr="00E93001" w:rsidTr="00560ACF">
        <w:trPr>
          <w:trHeight w:val="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Visitas de verificación.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de constancia de visitas de verificación o de actos tendentes a la comprobación de los requisitos señalados en la Ley, Reglamentos o normas correspondientes, o bien, de los hechos manifestados por el solicitante, cuando los mismos sean requeridos.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845331" w:rsidRPr="00E93001" w:rsidTr="00560ACF">
        <w:trPr>
          <w:trHeight w:val="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Evaluación del cumplimiento de los requisitos para el otorgamiento de la concesión, licencia, autorización, permiso, o sus prórrogas.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que, en su caso, se elaboren por servidores públicos para la evaluación del cumplimiento de requisitos por parte del solicitante.</w:t>
            </w:r>
          </w:p>
          <w:p w:rsidR="00845331" w:rsidRPr="00F82CD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En el caso de los procedimientos de licitación o concurso en que se prevea la posibilidad de desechar o tener por no admitidos a los interesados de manera previa al fallo, los documentos en que conste dicho desechamiento o no admisión.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845331" w:rsidRPr="00E93001" w:rsidTr="00560ACF">
        <w:trPr>
          <w:trHeight w:val="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Determinación sobre el otorgamiento de la concesión, licencia, autorización, permiso o sus prórrogas.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F82CD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En el caso de los procedimientos de licitación o concurso, el fallo.</w:t>
            </w:r>
          </w:p>
          <w:p w:rsidR="00845331" w:rsidRPr="00F82CD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F82CD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Título de concesión o documento en que conste el otorgamiento o negativa de la licencia, autorización, permiso o sus prórrogas.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 w:rsidRPr="004F6EFF"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D220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</w:tbl>
    <w:p w:rsidR="00AE3081" w:rsidRDefault="00AE308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E3081" w:rsidRDefault="00AE3081" w:rsidP="00AE3081">
      <w:pPr>
        <w:jc w:val="both"/>
        <w:rPr>
          <w:rFonts w:ascii="Arial" w:hAnsi="Arial" w:cs="Arial"/>
          <w:b/>
        </w:rPr>
      </w:pPr>
    </w:p>
    <w:p w:rsidR="00AE3081" w:rsidRDefault="00AE3081" w:rsidP="00AE3081">
      <w:pPr>
        <w:jc w:val="both"/>
        <w:rPr>
          <w:rFonts w:ascii="Arial" w:hAnsi="Arial" w:cs="Arial"/>
          <w:b/>
        </w:rPr>
      </w:pPr>
    </w:p>
    <w:p w:rsidR="00AE3081" w:rsidRDefault="00AE3081" w:rsidP="00AE3081">
      <w:pPr>
        <w:jc w:val="both"/>
        <w:rPr>
          <w:rFonts w:ascii="Arial" w:hAnsi="Arial" w:cs="Arial"/>
          <w:b/>
        </w:rPr>
      </w:pPr>
    </w:p>
    <w:p w:rsidR="00AE3081" w:rsidRDefault="00AE3081" w:rsidP="00AE3081">
      <w:pPr>
        <w:jc w:val="both"/>
        <w:rPr>
          <w:rFonts w:ascii="Arial" w:hAnsi="Arial" w:cs="Arial"/>
          <w:b/>
        </w:rPr>
      </w:pPr>
    </w:p>
    <w:p w:rsidR="00AE3081" w:rsidRDefault="00AE3081" w:rsidP="00AE3081">
      <w:pPr>
        <w:jc w:val="both"/>
        <w:rPr>
          <w:rFonts w:ascii="Arial" w:hAnsi="Arial" w:cs="Arial"/>
          <w:b/>
        </w:rPr>
      </w:pPr>
    </w:p>
    <w:p w:rsidR="00AE3081" w:rsidRPr="00690476" w:rsidRDefault="00AE3081" w:rsidP="00AE3081">
      <w:pPr>
        <w:jc w:val="both"/>
        <w:rPr>
          <w:rFonts w:ascii="Arial" w:hAnsi="Arial" w:cs="Arial"/>
          <w:b/>
        </w:rPr>
      </w:pPr>
    </w:p>
    <w:p w:rsidR="00616DBE" w:rsidRDefault="00616DBE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616DBE" w:rsidRDefault="00616DBE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5E6161" w:rsidRDefault="005E616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845331" w:rsidRDefault="0084533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4185B" w:rsidRDefault="00DF0F6D" w:rsidP="00DF0F6D">
      <w:pPr>
        <w:jc w:val="both"/>
        <w:rPr>
          <w:rFonts w:ascii="Arial" w:hAnsi="Arial" w:cs="Arial"/>
          <w:sz w:val="16"/>
          <w:szCs w:val="16"/>
        </w:rPr>
      </w:pPr>
      <w:r w:rsidRPr="0003228A">
        <w:rPr>
          <w:rFonts w:ascii="Arial" w:hAnsi="Arial" w:cs="Arial"/>
          <w:b/>
        </w:rPr>
        <w:lastRenderedPageBreak/>
        <w:t>Anexo</w:t>
      </w:r>
      <w:r w:rsidR="00BA2D11">
        <w:rPr>
          <w:rFonts w:ascii="Arial" w:hAnsi="Arial" w:cs="Arial"/>
          <w:b/>
        </w:rPr>
        <w:t xml:space="preserve"> 3. Catálogo de Enajenación de Bienes M</w:t>
      </w:r>
      <w:r w:rsidRPr="0003228A">
        <w:rPr>
          <w:rFonts w:ascii="Arial" w:hAnsi="Arial" w:cs="Arial"/>
          <w:b/>
        </w:rPr>
        <w:t>uebles</w:t>
      </w:r>
    </w:p>
    <w:tbl>
      <w:tblPr>
        <w:tblpPr w:leftFromText="141" w:rightFromText="141" w:vertAnchor="page" w:horzAnchor="margin" w:tblpXSpec="center" w:tblpY="2281"/>
        <w:tblW w:w="11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5103"/>
        <w:gridCol w:w="567"/>
        <w:gridCol w:w="567"/>
        <w:gridCol w:w="992"/>
        <w:gridCol w:w="709"/>
        <w:gridCol w:w="850"/>
      </w:tblGrid>
      <w:tr w:rsidR="00845331" w:rsidRPr="00644C3E" w:rsidTr="00845331">
        <w:trPr>
          <w:trHeight w:val="132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Identificador del objeto de la responsabilidad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Objeto de la responsabilidad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Elementos de orientación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  <w:lang w:eastAsia="es-MX"/>
              </w:rPr>
              <w:t>NIVELES DE RESPONSABILIDAD</w:t>
            </w:r>
          </w:p>
        </w:tc>
      </w:tr>
      <w:tr w:rsidR="00845331" w:rsidRPr="00644C3E" w:rsidTr="00845331">
        <w:trPr>
          <w:trHeight w:val="12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ATENCIÓN  O TRAMITACIÓN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RESOLUCIÓN</w:t>
            </w:r>
          </w:p>
        </w:tc>
      </w:tr>
      <w:tr w:rsidR="00845331" w:rsidRPr="00644C3E" w:rsidTr="00845331">
        <w:trPr>
          <w:trHeight w:val="493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Elaborar</w:t>
            </w:r>
          </w:p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Revisar</w:t>
            </w:r>
          </w:p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Firmar, autorizar o dictaminar</w:t>
            </w:r>
          </w:p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(C)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Supervisar</w:t>
            </w:r>
          </w:p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45331" w:rsidRPr="0034185B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Emitir o </w:t>
            </w:r>
          </w:p>
          <w:p w:rsidR="00845331" w:rsidRPr="0034185B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Suscribir</w:t>
            </w:r>
          </w:p>
          <w:p w:rsidR="00845331" w:rsidRPr="00644C3E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(E)</w:t>
            </w:r>
          </w:p>
        </w:tc>
      </w:tr>
      <w:tr w:rsidR="00845331" w:rsidRPr="00E93001" w:rsidTr="00845331">
        <w:trPr>
          <w:trHeight w:val="3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E93001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Autorizaciones o dictámenes previos para llevar a cabo determinado procedimiento de enajenación de bienes muebles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Comprende, entre otros, los siguientes:</w:t>
            </w:r>
          </w:p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Acuerdo Administrativo de Desincorporación. Art. 130, fracción II de la LGBN, 16, 17 18, 19 y 22 y Anexos 2A y 2B de las NG y FORMATOS “Acuerdo administrativo de desincorporación” del Manual de RMySG.</w:t>
            </w: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Dictamen de no utilidad ( 21 de las Normas Generales para el registro, afectación, disposición final y baja de bienes muebles de la Administración Pública Federal Centralizada (NG) y FORMATOS “Relación de bienes muebles” y “Dictamen de no utilidad” del Manual de RMySG.</w:t>
            </w: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Dictamen de la excepción a la licitación pública en el que conste el análisis de la misma. (Incluye los servidores públicos que integran el Comité o Subcomité de Bienes Muebles, así como sus asesores). Arts. 139, 141, fracción IV de la LGBN y 37 numeral VIII de las NG.</w:t>
            </w:r>
          </w:p>
          <w:p w:rsidR="00845331" w:rsidRPr="00584A97" w:rsidRDefault="00845331" w:rsidP="00845331">
            <w:pPr>
              <w:pStyle w:val="Prrafodelista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690476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  <w:p w:rsidR="00845331" w:rsidRPr="00584A97" w:rsidRDefault="00845331" w:rsidP="00845331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  <w:tr w:rsidR="00845331" w:rsidRPr="00E93001" w:rsidTr="00845331">
        <w:trPr>
          <w:trHeight w:val="3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E93001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Análisis o autorización  para llevar a cabo la  donación, permuta o dación en pago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Comprende, los siguientes:</w:t>
            </w:r>
          </w:p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Análisis de la conveniencia de celebrar donaciones, permuta o dación en pago. (Incluye los servidores públicos que integran el Comité o Subcomité de Bienes Muebles, así como sus asesores). Arts. 139, 141, fracción VIII de la LGBN y (donación 41, numeral 4 de las NG) y los Subprocesos 5.7.5, 5.7.5 bis y 5.7.5 ter del Manual de RMy SG.</w:t>
            </w: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Autorización de donaciones, permuta o dación en pago. Arts. 130, fracción III, 133, 139, 141, fracción VII de la LGBN y los Subprocesos 5.7.5, 5.7.5 bis y 5.7.5 ter del Manual de RMy SG.</w:t>
            </w:r>
          </w:p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690476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  <w:p w:rsidR="00845331" w:rsidRPr="00584A97" w:rsidRDefault="00845331" w:rsidP="00845331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  <w:tr w:rsidR="00845331" w:rsidRPr="00E93001" w:rsidTr="00845331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E93001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Modificaciones a las Bases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pStyle w:val="Prrafodelista"/>
              <w:spacing w:after="0" w:line="240" w:lineRule="auto"/>
              <w:ind w:left="401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Aplica para el caso de venta de bienes muebles en el caso de licitación pública.</w:t>
            </w:r>
          </w:p>
          <w:p w:rsidR="00845331" w:rsidRPr="00584A97" w:rsidRDefault="00845331" w:rsidP="00845331">
            <w:pPr>
              <w:pStyle w:val="Prrafodelista"/>
              <w:spacing w:after="0" w:line="240" w:lineRule="auto"/>
              <w:ind w:left="401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Los documentos en los que consta la comunicación de las modificaciones, o bien, el relativo a la junta de aclaraciones. 30 de las 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690476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  <w:tr w:rsidR="00845331" w:rsidRPr="00E93001" w:rsidTr="00845331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E93001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Presentación y apertura de ofertas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pStyle w:val="Prrafodelista"/>
              <w:spacing w:after="0" w:line="240" w:lineRule="auto"/>
              <w:ind w:left="401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Aplica para el caso de venta de bienes muebles en el caso de licitación pública o invitación a cuando menos tres personas.</w:t>
            </w:r>
          </w:p>
          <w:p w:rsidR="00845331" w:rsidRPr="00584A97" w:rsidRDefault="00845331" w:rsidP="00845331">
            <w:pPr>
              <w:pStyle w:val="Prrafodelista"/>
              <w:spacing w:after="0" w:line="240" w:lineRule="auto"/>
              <w:ind w:left="401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Documento en el que se haga constar las ofertas que se desechan, así como las causas para ello. 32, 2° párrafo de las 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FA1E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845331" w:rsidRPr="00E93001" w:rsidTr="00845331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E93001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E93001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Evaluación de ofertas.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pStyle w:val="Prrafodelista"/>
              <w:spacing w:after="0" w:line="240" w:lineRule="auto"/>
              <w:ind w:left="401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Aplica para el caso de venta de bienes muebles en el caso de licitación pública o invitación a cuando menos tres personas.</w:t>
            </w: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Cuadro comparativo de ofertas.</w:t>
            </w: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Dictamen para el sustento del fallo.</w:t>
            </w:r>
          </w:p>
          <w:p w:rsidR="00845331" w:rsidRPr="00584A97" w:rsidRDefault="00845331" w:rsidP="00845331">
            <w:pPr>
              <w:pStyle w:val="Prrafodelista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690476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  <w:p w:rsidR="00845331" w:rsidRPr="00584A97" w:rsidRDefault="00845331" w:rsidP="00845331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  <w:tr w:rsidR="00845331" w:rsidRPr="00E93001" w:rsidTr="00845331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Adjudicación de los bienes muebles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 xml:space="preserve">En el caso de licitaciones públicas e invitaciones a cuando menos tres, el fallo. </w:t>
            </w: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Tratándose de adjudicaciones directas, la notificación de la adjudicación mediante acta de adjudicación.</w:t>
            </w:r>
          </w:p>
          <w:p w:rsidR="00845331" w:rsidRPr="00584A97" w:rsidRDefault="00845331" w:rsidP="0084533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Tratando de vehículos, además el acta de venta correspondiente.</w:t>
            </w:r>
          </w:p>
          <w:p w:rsidR="00845331" w:rsidRPr="00584A97" w:rsidRDefault="00845331" w:rsidP="00845331">
            <w:pPr>
              <w:pStyle w:val="Prrafodelista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F6EFF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 w:rsidRPr="004F6EFF"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 w:rsidRPr="004F6EFF"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  <w:tr w:rsidR="00845331" w:rsidRPr="00E93001" w:rsidTr="00845331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Formalización del contrato.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584A97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Tratándose de Donación, Permuta o Dación en Pago deberá considerarse lo dispuesto en la 41 de las NG y los Subprocesos 5.7.5, 5.7.5 bis y 5.7.5 ter del Manual de RMy SG.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4F6EFF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 w:rsidRPr="004F6EFF"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Default="00845331" w:rsidP="008453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 w:rsidRPr="004F6EFF"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331" w:rsidRPr="00584A97" w:rsidRDefault="00845331" w:rsidP="00845331">
            <w:pPr>
              <w:pStyle w:val="Prrafodelista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</w:tbl>
    <w:p w:rsidR="0034185B" w:rsidRDefault="0034185B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845331" w:rsidRDefault="0084533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845331" w:rsidRDefault="00845331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4185B" w:rsidRDefault="0034185B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4185B" w:rsidRPr="006A1E37" w:rsidRDefault="0034185B" w:rsidP="006A1E37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8A2B17" w:rsidRPr="00B4100D" w:rsidRDefault="008A2B17" w:rsidP="008A2B17">
      <w:pPr>
        <w:jc w:val="both"/>
        <w:rPr>
          <w:rFonts w:ascii="Arial" w:hAnsi="Arial" w:cs="Arial"/>
          <w:b/>
        </w:rPr>
      </w:pPr>
    </w:p>
    <w:p w:rsidR="0003228A" w:rsidRPr="0003228A" w:rsidRDefault="0003228A" w:rsidP="0003228A">
      <w:pPr>
        <w:jc w:val="both"/>
        <w:rPr>
          <w:rFonts w:ascii="Arial" w:hAnsi="Arial" w:cs="Arial"/>
          <w:b/>
        </w:rPr>
      </w:pPr>
    </w:p>
    <w:p w:rsidR="000F4FB0" w:rsidRDefault="000F4FB0" w:rsidP="008A2B17">
      <w:pPr>
        <w:jc w:val="both"/>
        <w:rPr>
          <w:rFonts w:ascii="Arial" w:hAnsi="Arial" w:cs="Arial"/>
        </w:rPr>
      </w:pPr>
    </w:p>
    <w:p w:rsidR="000F4FB0" w:rsidRDefault="000F4FB0" w:rsidP="008A2B17">
      <w:pPr>
        <w:jc w:val="both"/>
        <w:rPr>
          <w:rFonts w:ascii="Arial" w:hAnsi="Arial" w:cs="Arial"/>
        </w:rPr>
      </w:pPr>
    </w:p>
    <w:p w:rsidR="000F4FB0" w:rsidRDefault="000F4FB0" w:rsidP="008A2B17">
      <w:pPr>
        <w:jc w:val="both"/>
        <w:rPr>
          <w:rFonts w:ascii="Arial" w:hAnsi="Arial" w:cs="Arial"/>
        </w:rPr>
      </w:pPr>
    </w:p>
    <w:p w:rsidR="000F4FB0" w:rsidRDefault="000F4FB0" w:rsidP="008A2B17">
      <w:pPr>
        <w:jc w:val="both"/>
        <w:rPr>
          <w:rFonts w:ascii="Arial" w:hAnsi="Arial" w:cs="Arial"/>
        </w:rPr>
      </w:pPr>
    </w:p>
    <w:p w:rsidR="000F4FB0" w:rsidRDefault="00DF0F6D" w:rsidP="008A2B17">
      <w:pPr>
        <w:jc w:val="both"/>
        <w:rPr>
          <w:rFonts w:ascii="Arial" w:hAnsi="Arial" w:cs="Arial"/>
        </w:rPr>
      </w:pPr>
      <w:r w:rsidRPr="0003228A">
        <w:rPr>
          <w:rFonts w:ascii="Arial" w:hAnsi="Arial" w:cs="Arial"/>
          <w:b/>
        </w:rPr>
        <w:lastRenderedPageBreak/>
        <w:t>Anexo 4. Catálogo de asignación y emisión de dictámenes en materia de avalúos y justipreciación de rentas.</w:t>
      </w:r>
    </w:p>
    <w:p w:rsidR="000F4FB0" w:rsidRDefault="000F4FB0" w:rsidP="008A2B17">
      <w:pPr>
        <w:jc w:val="both"/>
        <w:rPr>
          <w:rFonts w:ascii="Arial" w:hAnsi="Arial" w:cs="Arial"/>
        </w:rPr>
      </w:pPr>
    </w:p>
    <w:p w:rsidR="000F4FB0" w:rsidRDefault="000F4FB0" w:rsidP="008A2B17">
      <w:pPr>
        <w:jc w:val="both"/>
        <w:rPr>
          <w:rFonts w:ascii="Arial" w:hAnsi="Arial" w:cs="Arial"/>
        </w:rPr>
      </w:pPr>
    </w:p>
    <w:p w:rsidR="00A52945" w:rsidRDefault="00A52945" w:rsidP="008A2B17">
      <w:pPr>
        <w:jc w:val="both"/>
        <w:rPr>
          <w:rFonts w:ascii="Arial" w:hAnsi="Arial" w:cs="Arial"/>
        </w:rPr>
      </w:pPr>
    </w:p>
    <w:p w:rsidR="00A52945" w:rsidRDefault="00A52945" w:rsidP="008A2B17">
      <w:pPr>
        <w:jc w:val="both"/>
        <w:rPr>
          <w:rFonts w:ascii="Arial" w:hAnsi="Arial" w:cs="Arial"/>
        </w:rPr>
      </w:pPr>
    </w:p>
    <w:p w:rsidR="000F4FB0" w:rsidRDefault="000F4FB0" w:rsidP="008A2B17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665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560"/>
        <w:gridCol w:w="5103"/>
        <w:gridCol w:w="567"/>
        <w:gridCol w:w="567"/>
        <w:gridCol w:w="992"/>
        <w:gridCol w:w="709"/>
        <w:gridCol w:w="850"/>
      </w:tblGrid>
      <w:tr w:rsidR="00CF7EF8" w:rsidRPr="00644C3E" w:rsidTr="00CF7EF8">
        <w:trPr>
          <w:trHeight w:val="132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Identificador del objeto de la responsabilidad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Objeto de la responsabilidad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Elementos de orientación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  <w:lang w:eastAsia="es-MX"/>
              </w:rPr>
              <w:t>NIVELES DE RESPONSABILIDAD</w:t>
            </w:r>
          </w:p>
        </w:tc>
      </w:tr>
      <w:tr w:rsidR="00CF7EF8" w:rsidRPr="00644C3E" w:rsidTr="00CF7EF8">
        <w:trPr>
          <w:trHeight w:val="120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ATENCIÓN  O TRAMITACIÓN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RESOLUCIÓN</w:t>
            </w:r>
          </w:p>
        </w:tc>
      </w:tr>
      <w:tr w:rsidR="00CF7EF8" w:rsidRPr="00644C3E" w:rsidTr="00CF7EF8">
        <w:trPr>
          <w:trHeight w:val="493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Elaborar</w:t>
            </w:r>
          </w:p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Revisar</w:t>
            </w:r>
          </w:p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Firmar, autorizar o dictaminar</w:t>
            </w:r>
          </w:p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(C)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Supervisar</w:t>
            </w:r>
          </w:p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44C3E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F7EF8" w:rsidRPr="0034185B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 xml:space="preserve">Emitir o </w:t>
            </w:r>
          </w:p>
          <w:p w:rsidR="00CF7EF8" w:rsidRPr="0034185B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Suscribir</w:t>
            </w:r>
          </w:p>
          <w:p w:rsidR="00CF7EF8" w:rsidRPr="00644C3E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4185B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es-MX"/>
              </w:rPr>
              <w:t>(E)</w:t>
            </w:r>
          </w:p>
        </w:tc>
      </w:tr>
      <w:tr w:rsidR="00CF7EF8" w:rsidRPr="00E93001" w:rsidTr="00CF7EF8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Propuestas de asignaciones de avalúos o justipreciaciones de renta a Peritos que formen parte del Padrón Nacional de Peritos Valuadores del  INDAABIN.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 xml:space="preserve">Comprende únicamente los avalúos y justipreciaciones de renta competencia del Instituto de Administración y Avalúos de Bienes Nacionales (INDAABIN). </w:t>
            </w:r>
          </w:p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Las propuestas se realizan en atención a las solicitudes de las dependencias y entidades de la Administración Pública Federal, la Procuraduría General de la República y la Oficina de la Presidencia de la República, o bien, cualquier otra que contemplen las disposiciones jurídicas aplicables.</w:t>
            </w:r>
          </w:p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 xml:space="preserve">Las propuestas se realizan de acuerdo a la especialidad, complejidad, dimensión, singularidad, novedad, confidencialidad, urgencia o necesidad de los servicios solicitados. Se propondrá al más adecuado perito valuador con registro vigente, que asegure los niveles de calidad técnica y oportunidad, requeridos en un marco de transparencia. </w:t>
            </w:r>
          </w:p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  <w:t>N/A</w:t>
            </w:r>
          </w:p>
        </w:tc>
      </w:tr>
      <w:tr w:rsidR="00CF7EF8" w:rsidRPr="00E93001" w:rsidTr="00CF7EF8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Asignación de avalúos y justipreciaciones de renta a Peritos que formen parte del Padrón Nacional de Peritos Valuadores del  INDAABIN.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Comprende las asignaciones que determina el Comité de Asignación de Trabajos y Evaluación de Peritos Valuadores.</w:t>
            </w:r>
          </w:p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  <w:tr w:rsidR="00CF7EF8" w:rsidRPr="00E93001" w:rsidTr="00CF7EF8">
        <w:trPr>
          <w:trHeight w:val="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Emisión de Dictámenes Valuatorios (avalúos y justipreciaciones de renta)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A52945" w:rsidRDefault="00CF7EF8" w:rsidP="00CF7E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  <w:r w:rsidRPr="00A52945"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  <w:t>Comprende los dictámenes valuatorios que autorizan los Directores de Zona o los Cuerpos Colegiados de Avalúos, según el ámbito de competencia previsto en las disposiciones jurídico administrativas aplicables al INDAABIN</w:t>
            </w:r>
          </w:p>
          <w:p w:rsidR="00CF7EF8" w:rsidRPr="00A52945" w:rsidRDefault="00CF7EF8" w:rsidP="00CF7EF8">
            <w:pPr>
              <w:pStyle w:val="Prrafodelista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F8" w:rsidRPr="004D2207" w:rsidRDefault="00CF7EF8" w:rsidP="00CF7E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es-MX"/>
              </w:rPr>
            </w:pPr>
          </w:p>
        </w:tc>
      </w:tr>
    </w:tbl>
    <w:p w:rsidR="000F4FB0" w:rsidRPr="0003228A" w:rsidRDefault="000F4FB0" w:rsidP="00DF0F6D">
      <w:pPr>
        <w:jc w:val="both"/>
        <w:rPr>
          <w:rFonts w:ascii="Arial" w:hAnsi="Arial" w:cs="Arial"/>
          <w:b/>
        </w:rPr>
      </w:pPr>
    </w:p>
    <w:sectPr w:rsidR="000F4FB0" w:rsidRPr="0003228A" w:rsidSect="001F0E15">
      <w:headerReference w:type="default" r:id="rId9"/>
      <w:foot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5A" w:rsidRDefault="006E4B5A" w:rsidP="00AD3C1A">
      <w:pPr>
        <w:spacing w:after="0" w:line="240" w:lineRule="auto"/>
      </w:pPr>
      <w:r>
        <w:separator/>
      </w:r>
    </w:p>
  </w:endnote>
  <w:endnote w:type="continuationSeparator" w:id="0">
    <w:p w:rsidR="006E4B5A" w:rsidRDefault="006E4B5A" w:rsidP="00AD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16949"/>
      <w:docPartObj>
        <w:docPartGallery w:val="Page Numbers (Bottom of Page)"/>
        <w:docPartUnique/>
      </w:docPartObj>
    </w:sdtPr>
    <w:sdtEndPr/>
    <w:sdtContent>
      <w:p w:rsidR="00560ACF" w:rsidRDefault="00560ACF">
        <w:pPr>
          <w:pStyle w:val="Piedepgina"/>
          <w:jc w:val="center"/>
        </w:pPr>
        <w:r>
          <w:rPr>
            <w:noProof/>
            <w:lang w:eastAsia="es-MX"/>
          </w:rPr>
          <mc:AlternateContent>
            <mc:Choice Requires="wps">
              <w:drawing>
                <wp:inline distT="0" distB="0" distL="0" distR="0" wp14:anchorId="40492CA0" wp14:editId="5241D7FB">
                  <wp:extent cx="5467350" cy="45085"/>
                  <wp:effectExtent l="9525" t="9525" r="0" b="2540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23FF6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60ACF" w:rsidRPr="00475CF8" w:rsidRDefault="00560ACF" w:rsidP="00475CF8">
        <w:pPr>
          <w:pStyle w:val="Piedepgina"/>
          <w:jc w:val="right"/>
          <w:rPr>
            <w:sz w:val="16"/>
            <w:szCs w:val="16"/>
          </w:rPr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2405D" w:rsidRPr="0022405D">
          <w:rPr>
            <w:noProof/>
            <w:lang w:val="es-ES"/>
          </w:rPr>
          <w:t>2</w:t>
        </w:r>
        <w:r>
          <w:fldChar w:fldCharType="end"/>
        </w:r>
        <w:r>
          <w:t xml:space="preserve">                           </w:t>
        </w:r>
        <w:r w:rsidRPr="00475CF8">
          <w:rPr>
            <w:rFonts w:ascii="Arial Narrow" w:hAnsi="Arial Narrow"/>
            <w:sz w:val="14"/>
            <w:szCs w:val="14"/>
          </w:rPr>
          <w:t xml:space="preserve"> Unidad de Política de Recursos Humanos de la APF</w:t>
        </w:r>
      </w:p>
    </w:sdtContent>
  </w:sdt>
  <w:p w:rsidR="00560ACF" w:rsidRDefault="00560A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5A" w:rsidRDefault="006E4B5A" w:rsidP="00AD3C1A">
      <w:pPr>
        <w:spacing w:after="0" w:line="240" w:lineRule="auto"/>
      </w:pPr>
      <w:r>
        <w:separator/>
      </w:r>
    </w:p>
  </w:footnote>
  <w:footnote w:type="continuationSeparator" w:id="0">
    <w:p w:rsidR="006E4B5A" w:rsidRDefault="006E4B5A" w:rsidP="00AD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amedia2-nfasis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00"/>
      <w:gridCol w:w="972"/>
    </w:tblGrid>
    <w:tr w:rsidR="00560ACF" w:rsidTr="001D1C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747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tbl>
          <w:tblPr>
            <w:tblStyle w:val="Tablaconcuadrcula"/>
            <w:tblW w:w="87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37"/>
            <w:gridCol w:w="1547"/>
          </w:tblGrid>
          <w:tr w:rsidR="00560ACF" w:rsidTr="004F21A0">
            <w:tc>
              <w:tcPr>
                <w:tcW w:w="7508" w:type="dxa"/>
                <w:vAlign w:val="center"/>
              </w:tcPr>
              <w:p w:rsidR="00560ACF" w:rsidRPr="00174D32" w:rsidRDefault="00560ACF" w:rsidP="00647D5D">
                <w:pPr>
                  <w:jc w:val="right"/>
                  <w:rPr>
                    <w:rFonts w:cs="Arial"/>
                    <w:i/>
                    <w:sz w:val="28"/>
                    <w:szCs w:val="28"/>
                  </w:rPr>
                </w:pPr>
                <w:r>
                  <w:rPr>
                    <w:rFonts w:cs="Arial"/>
                    <w:i/>
                    <w:color w:val="FF0000"/>
                    <w:sz w:val="24"/>
                    <w:szCs w:val="24"/>
                  </w:rPr>
                  <w:t xml:space="preserve">Guía para la </w:t>
                </w:r>
                <w:r w:rsidRPr="00DF2DAF">
                  <w:rPr>
                    <w:rFonts w:cs="Arial"/>
                    <w:i/>
                    <w:color w:val="FF0000"/>
                    <w:sz w:val="24"/>
                    <w:szCs w:val="24"/>
                  </w:rPr>
                  <w:t xml:space="preserve">identificación </w:t>
                </w:r>
                <w:r>
                  <w:rPr>
                    <w:rFonts w:cs="Arial"/>
                    <w:i/>
                    <w:color w:val="FF0000"/>
                    <w:sz w:val="24"/>
                    <w:szCs w:val="24"/>
                  </w:rPr>
                  <w:t xml:space="preserve"> y clasificación de los niveles de responsabilidad </w:t>
                </w:r>
                <w:r w:rsidRPr="00DF2DAF">
                  <w:rPr>
                    <w:rFonts w:cs="Arial"/>
                    <w:i/>
                    <w:color w:val="FF0000"/>
                    <w:sz w:val="24"/>
                    <w:szCs w:val="24"/>
                  </w:rPr>
                  <w:t>de los servidores públicos de la Administración Pública Federal.</w:t>
                </w:r>
              </w:p>
            </w:tc>
            <w:tc>
              <w:tcPr>
                <w:tcW w:w="1276" w:type="dxa"/>
              </w:tcPr>
              <w:p w:rsidR="00560ACF" w:rsidRDefault="00560ACF" w:rsidP="001B2801">
                <w:pPr>
                  <w:pStyle w:val="Encabezado"/>
                  <w:jc w:val="both"/>
                </w:pPr>
                <w:r w:rsidRPr="001B2801">
                  <w:rPr>
                    <w:noProof/>
                    <w:lang w:eastAsia="es-MX"/>
                  </w:rPr>
                  <w:drawing>
                    <wp:inline distT="0" distB="0" distL="0" distR="0" wp14:anchorId="7D7366E3" wp14:editId="4F3F0900">
                      <wp:extent cx="845334" cy="588397"/>
                      <wp:effectExtent l="0" t="0" r="0" b="2540"/>
                      <wp:docPr id="2" name="3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3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8823" cy="590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60ACF" w:rsidRDefault="00560ACF">
          <w:pPr>
            <w:pStyle w:val="Encabezado"/>
          </w:pPr>
        </w:p>
      </w:tc>
      <w:tc>
        <w:tcPr>
          <w:tcW w:w="149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560ACF" w:rsidRDefault="00560ACF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560ACF" w:rsidRDefault="00560A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263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09E"/>
    <w:multiLevelType w:val="multilevel"/>
    <w:tmpl w:val="3392F108"/>
    <w:numStyleLink w:val="Estilo1"/>
  </w:abstractNum>
  <w:abstractNum w:abstractNumId="2">
    <w:nsid w:val="039D5323"/>
    <w:multiLevelType w:val="hybridMultilevel"/>
    <w:tmpl w:val="66787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471AA"/>
    <w:multiLevelType w:val="hybridMultilevel"/>
    <w:tmpl w:val="994EB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69A8"/>
    <w:multiLevelType w:val="multilevel"/>
    <w:tmpl w:val="3392F108"/>
    <w:styleLink w:val="Estilo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6D"/>
    <w:multiLevelType w:val="hybridMultilevel"/>
    <w:tmpl w:val="086EB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F2F48"/>
    <w:multiLevelType w:val="hybridMultilevel"/>
    <w:tmpl w:val="58F63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045A"/>
    <w:multiLevelType w:val="hybridMultilevel"/>
    <w:tmpl w:val="1F1A6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231C7"/>
    <w:multiLevelType w:val="hybridMultilevel"/>
    <w:tmpl w:val="C17C4E9A"/>
    <w:lvl w:ilvl="0" w:tplc="B614C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36EE8"/>
    <w:multiLevelType w:val="hybridMultilevel"/>
    <w:tmpl w:val="1F26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D5701"/>
    <w:multiLevelType w:val="hybridMultilevel"/>
    <w:tmpl w:val="AFA60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30D54"/>
    <w:multiLevelType w:val="hybridMultilevel"/>
    <w:tmpl w:val="04323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63DBF"/>
    <w:multiLevelType w:val="hybridMultilevel"/>
    <w:tmpl w:val="0F2E983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98305A6"/>
    <w:multiLevelType w:val="hybridMultilevel"/>
    <w:tmpl w:val="BCB272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9E4941"/>
    <w:multiLevelType w:val="multilevel"/>
    <w:tmpl w:val="89421A4C"/>
    <w:lvl w:ilvl="0">
      <w:start w:val="1"/>
      <w:numFmt w:val="none"/>
      <w:lvlText w:val="V.2"/>
      <w:lvlJc w:val="left"/>
      <w:pPr>
        <w:ind w:left="2136" w:hanging="720"/>
      </w:pPr>
      <w:rPr>
        <w:rFonts w:hint="default"/>
      </w:rPr>
    </w:lvl>
    <w:lvl w:ilvl="1">
      <w:start w:val="1"/>
      <w:numFmt w:val="none"/>
      <w:lvlText w:val="IV.1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5">
    <w:nsid w:val="4363605A"/>
    <w:multiLevelType w:val="hybridMultilevel"/>
    <w:tmpl w:val="8EEED632"/>
    <w:lvl w:ilvl="0" w:tplc="01E28D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45B09"/>
    <w:multiLevelType w:val="multilevel"/>
    <w:tmpl w:val="2F40F4B2"/>
    <w:lvl w:ilvl="0">
      <w:start w:val="1"/>
      <w:numFmt w:val="none"/>
      <w:lvlText w:val="VI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8FF2888"/>
    <w:multiLevelType w:val="hybridMultilevel"/>
    <w:tmpl w:val="BD60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43E7F"/>
    <w:multiLevelType w:val="hybridMultilevel"/>
    <w:tmpl w:val="C3CE5F4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E18187D"/>
    <w:multiLevelType w:val="hybridMultilevel"/>
    <w:tmpl w:val="42E2257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DDC5CA0"/>
    <w:multiLevelType w:val="hybridMultilevel"/>
    <w:tmpl w:val="6B3A0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26833"/>
    <w:multiLevelType w:val="hybridMultilevel"/>
    <w:tmpl w:val="007A8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32661"/>
    <w:multiLevelType w:val="hybridMultilevel"/>
    <w:tmpl w:val="20B4F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62CC6"/>
    <w:multiLevelType w:val="hybridMultilevel"/>
    <w:tmpl w:val="DCB2131C"/>
    <w:lvl w:ilvl="0" w:tplc="B614CC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B8F6622"/>
    <w:multiLevelType w:val="hybridMultilevel"/>
    <w:tmpl w:val="D41A81B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1"/>
  </w:num>
  <w:num w:numId="5">
    <w:abstractNumId w:val="19"/>
  </w:num>
  <w:num w:numId="6">
    <w:abstractNumId w:val="4"/>
  </w:num>
  <w:num w:numId="7">
    <w:abstractNumId w:val="14"/>
    <w:lvlOverride w:ilvl="0">
      <w:lvl w:ilvl="0">
        <w:start w:val="1"/>
        <w:numFmt w:val="none"/>
        <w:lvlText w:val="V.2"/>
        <w:lvlJc w:val="left"/>
        <w:pPr>
          <w:ind w:left="2136" w:hanging="720"/>
        </w:pPr>
        <w:rPr>
          <w:rFonts w:hint="default"/>
        </w:rPr>
      </w:lvl>
    </w:lvlOverride>
    <w:lvlOverride w:ilvl="1">
      <w:lvl w:ilvl="1">
        <w:start w:val="1"/>
        <w:numFmt w:val="none"/>
        <w:lvlText w:val="IV.1"/>
        <w:lvlJc w:val="left"/>
        <w:pPr>
          <w:ind w:left="249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36" w:hanging="180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none"/>
        <w:lvlText w:val="V.1"/>
        <w:lvlJc w:val="left"/>
        <w:pPr>
          <w:ind w:left="2136" w:hanging="720"/>
        </w:pPr>
        <w:rPr>
          <w:rFonts w:hint="default"/>
        </w:rPr>
      </w:lvl>
    </w:lvlOverride>
    <w:lvlOverride w:ilvl="1">
      <w:lvl w:ilvl="1">
        <w:start w:val="1"/>
        <w:numFmt w:val="none"/>
        <w:lvlText w:val="IV.1"/>
        <w:lvlJc w:val="left"/>
        <w:pPr>
          <w:ind w:left="249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36" w:hanging="180"/>
        </w:pPr>
        <w:rPr>
          <w:rFonts w:hint="default"/>
        </w:rPr>
      </w:lvl>
    </w:lvlOverride>
  </w:num>
  <w:num w:numId="9">
    <w:abstractNumId w:val="14"/>
    <w:lvlOverride w:ilvl="0">
      <w:lvl w:ilvl="0">
        <w:start w:val="1"/>
        <w:numFmt w:val="none"/>
        <w:lvlText w:val="V.3"/>
        <w:lvlJc w:val="left"/>
        <w:pPr>
          <w:ind w:left="2136" w:hanging="720"/>
        </w:pPr>
        <w:rPr>
          <w:rFonts w:hint="default"/>
        </w:rPr>
      </w:lvl>
    </w:lvlOverride>
    <w:lvlOverride w:ilvl="1">
      <w:lvl w:ilvl="1">
        <w:start w:val="1"/>
        <w:numFmt w:val="none"/>
        <w:lvlText w:val="IV.1"/>
        <w:lvlJc w:val="left"/>
        <w:pPr>
          <w:ind w:left="249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36" w:hanging="180"/>
        </w:pPr>
        <w:rPr>
          <w:rFonts w:hint="default"/>
        </w:rPr>
      </w:lvl>
    </w:lvlOverride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7"/>
  </w:num>
  <w:num w:numId="16">
    <w:abstractNumId w:val="9"/>
  </w:num>
  <w:num w:numId="17">
    <w:abstractNumId w:val="6"/>
  </w:num>
  <w:num w:numId="18">
    <w:abstractNumId w:val="2"/>
  </w:num>
  <w:num w:numId="19">
    <w:abstractNumId w:val="13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5"/>
  </w:num>
  <w:num w:numId="25">
    <w:abstractNumId w:val="20"/>
  </w:num>
  <w:num w:numId="26">
    <w:abstractNumId w:val="17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9"/>
    <w:rsid w:val="00002C97"/>
    <w:rsid w:val="00004709"/>
    <w:rsid w:val="00017AFA"/>
    <w:rsid w:val="000269FA"/>
    <w:rsid w:val="0003228A"/>
    <w:rsid w:val="0003242C"/>
    <w:rsid w:val="00036BAD"/>
    <w:rsid w:val="0004717C"/>
    <w:rsid w:val="00047E71"/>
    <w:rsid w:val="00053D1E"/>
    <w:rsid w:val="00056325"/>
    <w:rsid w:val="000569C6"/>
    <w:rsid w:val="0006382C"/>
    <w:rsid w:val="0006409D"/>
    <w:rsid w:val="00066228"/>
    <w:rsid w:val="00067F3B"/>
    <w:rsid w:val="00070F61"/>
    <w:rsid w:val="00074042"/>
    <w:rsid w:val="00077A7C"/>
    <w:rsid w:val="00080389"/>
    <w:rsid w:val="00082B57"/>
    <w:rsid w:val="0008575E"/>
    <w:rsid w:val="000A12F8"/>
    <w:rsid w:val="000A3F91"/>
    <w:rsid w:val="000A56BA"/>
    <w:rsid w:val="000A6E43"/>
    <w:rsid w:val="000A7879"/>
    <w:rsid w:val="000C5A94"/>
    <w:rsid w:val="000D4498"/>
    <w:rsid w:val="000E1D32"/>
    <w:rsid w:val="000E5AE8"/>
    <w:rsid w:val="000F2412"/>
    <w:rsid w:val="000F2939"/>
    <w:rsid w:val="000F4FB0"/>
    <w:rsid w:val="00107E09"/>
    <w:rsid w:val="00116941"/>
    <w:rsid w:val="00131219"/>
    <w:rsid w:val="00153A68"/>
    <w:rsid w:val="00156D70"/>
    <w:rsid w:val="00157535"/>
    <w:rsid w:val="00174D32"/>
    <w:rsid w:val="001774FC"/>
    <w:rsid w:val="00180646"/>
    <w:rsid w:val="0018475B"/>
    <w:rsid w:val="001852B9"/>
    <w:rsid w:val="001A4B3C"/>
    <w:rsid w:val="001A5420"/>
    <w:rsid w:val="001B2801"/>
    <w:rsid w:val="001B3457"/>
    <w:rsid w:val="001C0242"/>
    <w:rsid w:val="001D1C66"/>
    <w:rsid w:val="001D1C75"/>
    <w:rsid w:val="001D2DEA"/>
    <w:rsid w:val="001D4215"/>
    <w:rsid w:val="001D5E15"/>
    <w:rsid w:val="001D6EED"/>
    <w:rsid w:val="001E1A15"/>
    <w:rsid w:val="001E2FB1"/>
    <w:rsid w:val="001E392D"/>
    <w:rsid w:val="001E6C32"/>
    <w:rsid w:val="001F0E15"/>
    <w:rsid w:val="001F20E9"/>
    <w:rsid w:val="001F3D9A"/>
    <w:rsid w:val="002040D8"/>
    <w:rsid w:val="00206812"/>
    <w:rsid w:val="0020686F"/>
    <w:rsid w:val="00211F5A"/>
    <w:rsid w:val="00213CAE"/>
    <w:rsid w:val="00216E75"/>
    <w:rsid w:val="00221DE7"/>
    <w:rsid w:val="0022405D"/>
    <w:rsid w:val="00233BA7"/>
    <w:rsid w:val="00234CF3"/>
    <w:rsid w:val="00240ABC"/>
    <w:rsid w:val="0025144A"/>
    <w:rsid w:val="0027427F"/>
    <w:rsid w:val="0027762B"/>
    <w:rsid w:val="002807A8"/>
    <w:rsid w:val="00283D35"/>
    <w:rsid w:val="002842FD"/>
    <w:rsid w:val="002906A0"/>
    <w:rsid w:val="002937AB"/>
    <w:rsid w:val="00295FF9"/>
    <w:rsid w:val="00296371"/>
    <w:rsid w:val="0029674B"/>
    <w:rsid w:val="002A12EC"/>
    <w:rsid w:val="002A38A3"/>
    <w:rsid w:val="002A44BB"/>
    <w:rsid w:val="002A7E26"/>
    <w:rsid w:val="002B13AD"/>
    <w:rsid w:val="002B25D6"/>
    <w:rsid w:val="002B5635"/>
    <w:rsid w:val="002B6E01"/>
    <w:rsid w:val="002C0470"/>
    <w:rsid w:val="002C69ED"/>
    <w:rsid w:val="002C6CB3"/>
    <w:rsid w:val="002D0312"/>
    <w:rsid w:val="002D31DD"/>
    <w:rsid w:val="002D3B2C"/>
    <w:rsid w:val="002D7E04"/>
    <w:rsid w:val="002E0132"/>
    <w:rsid w:val="002E0B8F"/>
    <w:rsid w:val="002E1ACA"/>
    <w:rsid w:val="002F17DF"/>
    <w:rsid w:val="002F32BE"/>
    <w:rsid w:val="002F52F9"/>
    <w:rsid w:val="003018FF"/>
    <w:rsid w:val="00303532"/>
    <w:rsid w:val="00304695"/>
    <w:rsid w:val="003117F4"/>
    <w:rsid w:val="00312AA6"/>
    <w:rsid w:val="00317DB0"/>
    <w:rsid w:val="00320811"/>
    <w:rsid w:val="00323545"/>
    <w:rsid w:val="00326BBA"/>
    <w:rsid w:val="00326F78"/>
    <w:rsid w:val="00332215"/>
    <w:rsid w:val="003364E0"/>
    <w:rsid w:val="00337C1B"/>
    <w:rsid w:val="00340E89"/>
    <w:rsid w:val="0034185B"/>
    <w:rsid w:val="003456C8"/>
    <w:rsid w:val="00353A58"/>
    <w:rsid w:val="00354183"/>
    <w:rsid w:val="00355BD7"/>
    <w:rsid w:val="00366971"/>
    <w:rsid w:val="003742C2"/>
    <w:rsid w:val="003760EA"/>
    <w:rsid w:val="00376DD8"/>
    <w:rsid w:val="00377756"/>
    <w:rsid w:val="00391287"/>
    <w:rsid w:val="003A00D1"/>
    <w:rsid w:val="003A378D"/>
    <w:rsid w:val="003B1BFC"/>
    <w:rsid w:val="003B1C6B"/>
    <w:rsid w:val="003B4552"/>
    <w:rsid w:val="003C17CF"/>
    <w:rsid w:val="003C1F1E"/>
    <w:rsid w:val="003C2B5A"/>
    <w:rsid w:val="003D0CCE"/>
    <w:rsid w:val="003D2A4A"/>
    <w:rsid w:val="003D4F0A"/>
    <w:rsid w:val="003D7E5D"/>
    <w:rsid w:val="003E20FA"/>
    <w:rsid w:val="003E76A5"/>
    <w:rsid w:val="003F4DC4"/>
    <w:rsid w:val="003F7AEE"/>
    <w:rsid w:val="00405209"/>
    <w:rsid w:val="004100E6"/>
    <w:rsid w:val="00415598"/>
    <w:rsid w:val="004156E4"/>
    <w:rsid w:val="00417960"/>
    <w:rsid w:val="00421BE6"/>
    <w:rsid w:val="004274EE"/>
    <w:rsid w:val="004331BA"/>
    <w:rsid w:val="00440D05"/>
    <w:rsid w:val="004427A1"/>
    <w:rsid w:val="004462AE"/>
    <w:rsid w:val="00461C4B"/>
    <w:rsid w:val="0046543A"/>
    <w:rsid w:val="004736FE"/>
    <w:rsid w:val="0047455A"/>
    <w:rsid w:val="00475CF8"/>
    <w:rsid w:val="004770C6"/>
    <w:rsid w:val="00477ABF"/>
    <w:rsid w:val="00480B27"/>
    <w:rsid w:val="00480CB2"/>
    <w:rsid w:val="00491A81"/>
    <w:rsid w:val="00493A35"/>
    <w:rsid w:val="004944AF"/>
    <w:rsid w:val="004A2DF3"/>
    <w:rsid w:val="004A3486"/>
    <w:rsid w:val="004A69AD"/>
    <w:rsid w:val="004B36D5"/>
    <w:rsid w:val="004B3BF5"/>
    <w:rsid w:val="004C396B"/>
    <w:rsid w:val="004C4B41"/>
    <w:rsid w:val="004D2207"/>
    <w:rsid w:val="004D472D"/>
    <w:rsid w:val="004D65B7"/>
    <w:rsid w:val="004D675F"/>
    <w:rsid w:val="004D6771"/>
    <w:rsid w:val="004E0B14"/>
    <w:rsid w:val="004E0B67"/>
    <w:rsid w:val="004E1722"/>
    <w:rsid w:val="004E303D"/>
    <w:rsid w:val="004E6221"/>
    <w:rsid w:val="004F02A8"/>
    <w:rsid w:val="004F21A0"/>
    <w:rsid w:val="004F31FA"/>
    <w:rsid w:val="004F460B"/>
    <w:rsid w:val="004F5D8F"/>
    <w:rsid w:val="00504CF1"/>
    <w:rsid w:val="005059DE"/>
    <w:rsid w:val="00505A8D"/>
    <w:rsid w:val="00507CF9"/>
    <w:rsid w:val="00513667"/>
    <w:rsid w:val="00513691"/>
    <w:rsid w:val="00514A48"/>
    <w:rsid w:val="00516CF5"/>
    <w:rsid w:val="0052298C"/>
    <w:rsid w:val="005234C2"/>
    <w:rsid w:val="00530FA2"/>
    <w:rsid w:val="00533FC6"/>
    <w:rsid w:val="00534B79"/>
    <w:rsid w:val="00535C05"/>
    <w:rsid w:val="005367F8"/>
    <w:rsid w:val="00536A4B"/>
    <w:rsid w:val="00536D53"/>
    <w:rsid w:val="00544BA0"/>
    <w:rsid w:val="0054566E"/>
    <w:rsid w:val="0054793D"/>
    <w:rsid w:val="00551F6F"/>
    <w:rsid w:val="00560889"/>
    <w:rsid w:val="00560ACF"/>
    <w:rsid w:val="00560CF2"/>
    <w:rsid w:val="0057495B"/>
    <w:rsid w:val="00574D25"/>
    <w:rsid w:val="00575BFD"/>
    <w:rsid w:val="005838E0"/>
    <w:rsid w:val="00584A49"/>
    <w:rsid w:val="00584A97"/>
    <w:rsid w:val="00592F22"/>
    <w:rsid w:val="0059424A"/>
    <w:rsid w:val="005A155E"/>
    <w:rsid w:val="005B53BE"/>
    <w:rsid w:val="005C1B5D"/>
    <w:rsid w:val="005C33E6"/>
    <w:rsid w:val="005C5BFD"/>
    <w:rsid w:val="005D57BE"/>
    <w:rsid w:val="005D6FB8"/>
    <w:rsid w:val="005E6161"/>
    <w:rsid w:val="005F1615"/>
    <w:rsid w:val="005F3047"/>
    <w:rsid w:val="005F3782"/>
    <w:rsid w:val="005F3F5D"/>
    <w:rsid w:val="00601658"/>
    <w:rsid w:val="00604891"/>
    <w:rsid w:val="00612BAB"/>
    <w:rsid w:val="00613617"/>
    <w:rsid w:val="00615D0C"/>
    <w:rsid w:val="00616DBE"/>
    <w:rsid w:val="00626014"/>
    <w:rsid w:val="00633777"/>
    <w:rsid w:val="006434AC"/>
    <w:rsid w:val="00645D72"/>
    <w:rsid w:val="00647920"/>
    <w:rsid w:val="00647D5D"/>
    <w:rsid w:val="006509B4"/>
    <w:rsid w:val="006515C0"/>
    <w:rsid w:val="006527F6"/>
    <w:rsid w:val="006536B2"/>
    <w:rsid w:val="006550A5"/>
    <w:rsid w:val="0065702D"/>
    <w:rsid w:val="00663B59"/>
    <w:rsid w:val="00667695"/>
    <w:rsid w:val="00670218"/>
    <w:rsid w:val="00671F02"/>
    <w:rsid w:val="00676576"/>
    <w:rsid w:val="00683082"/>
    <w:rsid w:val="00685D53"/>
    <w:rsid w:val="00690476"/>
    <w:rsid w:val="00691380"/>
    <w:rsid w:val="006A1E37"/>
    <w:rsid w:val="006B0F25"/>
    <w:rsid w:val="006B1543"/>
    <w:rsid w:val="006B5932"/>
    <w:rsid w:val="006C4E74"/>
    <w:rsid w:val="006C5662"/>
    <w:rsid w:val="006C5C6D"/>
    <w:rsid w:val="006D17A5"/>
    <w:rsid w:val="006E4B5A"/>
    <w:rsid w:val="006F075A"/>
    <w:rsid w:val="006F2197"/>
    <w:rsid w:val="006F45A8"/>
    <w:rsid w:val="00703376"/>
    <w:rsid w:val="007145EE"/>
    <w:rsid w:val="007228B9"/>
    <w:rsid w:val="00732E81"/>
    <w:rsid w:val="007362A7"/>
    <w:rsid w:val="00737E1D"/>
    <w:rsid w:val="00750A02"/>
    <w:rsid w:val="00765C7A"/>
    <w:rsid w:val="00766537"/>
    <w:rsid w:val="00774EA8"/>
    <w:rsid w:val="00777E1F"/>
    <w:rsid w:val="00777FF8"/>
    <w:rsid w:val="00785374"/>
    <w:rsid w:val="00793957"/>
    <w:rsid w:val="007945FF"/>
    <w:rsid w:val="00795B81"/>
    <w:rsid w:val="007977DD"/>
    <w:rsid w:val="00797FCA"/>
    <w:rsid w:val="007A7019"/>
    <w:rsid w:val="007B20EB"/>
    <w:rsid w:val="007B5F64"/>
    <w:rsid w:val="007B7FF3"/>
    <w:rsid w:val="007C1678"/>
    <w:rsid w:val="007C393E"/>
    <w:rsid w:val="007C525E"/>
    <w:rsid w:val="007C6147"/>
    <w:rsid w:val="007D610F"/>
    <w:rsid w:val="007D7446"/>
    <w:rsid w:val="007E097F"/>
    <w:rsid w:val="007E6CC5"/>
    <w:rsid w:val="007E7010"/>
    <w:rsid w:val="007F0E70"/>
    <w:rsid w:val="007F3CEC"/>
    <w:rsid w:val="007F75A2"/>
    <w:rsid w:val="0080108E"/>
    <w:rsid w:val="008064D3"/>
    <w:rsid w:val="00810BF0"/>
    <w:rsid w:val="0081105F"/>
    <w:rsid w:val="00813628"/>
    <w:rsid w:val="008139D9"/>
    <w:rsid w:val="00814205"/>
    <w:rsid w:val="008149EE"/>
    <w:rsid w:val="0081753C"/>
    <w:rsid w:val="0082331B"/>
    <w:rsid w:val="00830968"/>
    <w:rsid w:val="008334AB"/>
    <w:rsid w:val="0084497D"/>
    <w:rsid w:val="00845331"/>
    <w:rsid w:val="00846798"/>
    <w:rsid w:val="008520B3"/>
    <w:rsid w:val="00853084"/>
    <w:rsid w:val="00870ADE"/>
    <w:rsid w:val="0087200C"/>
    <w:rsid w:val="008805F6"/>
    <w:rsid w:val="008825C9"/>
    <w:rsid w:val="00882D3C"/>
    <w:rsid w:val="0088377D"/>
    <w:rsid w:val="00895A1A"/>
    <w:rsid w:val="008964A2"/>
    <w:rsid w:val="008A00CC"/>
    <w:rsid w:val="008A0230"/>
    <w:rsid w:val="008A20B6"/>
    <w:rsid w:val="008A2B17"/>
    <w:rsid w:val="008A4726"/>
    <w:rsid w:val="008A5E12"/>
    <w:rsid w:val="008C6CE4"/>
    <w:rsid w:val="008D264C"/>
    <w:rsid w:val="008D2BAE"/>
    <w:rsid w:val="008D4029"/>
    <w:rsid w:val="008D4C43"/>
    <w:rsid w:val="008D4FE4"/>
    <w:rsid w:val="008D7123"/>
    <w:rsid w:val="008E02AC"/>
    <w:rsid w:val="008E3561"/>
    <w:rsid w:val="008F3067"/>
    <w:rsid w:val="008F6E27"/>
    <w:rsid w:val="009004C9"/>
    <w:rsid w:val="009077B1"/>
    <w:rsid w:val="00911033"/>
    <w:rsid w:val="009251D0"/>
    <w:rsid w:val="009304F9"/>
    <w:rsid w:val="00930EA1"/>
    <w:rsid w:val="0093250D"/>
    <w:rsid w:val="00936926"/>
    <w:rsid w:val="00951DEE"/>
    <w:rsid w:val="00952BE7"/>
    <w:rsid w:val="00962D5F"/>
    <w:rsid w:val="0096378E"/>
    <w:rsid w:val="00965933"/>
    <w:rsid w:val="009707B8"/>
    <w:rsid w:val="00973A03"/>
    <w:rsid w:val="00974F5E"/>
    <w:rsid w:val="00990395"/>
    <w:rsid w:val="0099243F"/>
    <w:rsid w:val="00993B96"/>
    <w:rsid w:val="00996FBC"/>
    <w:rsid w:val="009A46E2"/>
    <w:rsid w:val="009B70FE"/>
    <w:rsid w:val="009C02E8"/>
    <w:rsid w:val="009C3355"/>
    <w:rsid w:val="009C5D3C"/>
    <w:rsid w:val="009C6243"/>
    <w:rsid w:val="009C6D0D"/>
    <w:rsid w:val="009D2C6D"/>
    <w:rsid w:val="009D32B7"/>
    <w:rsid w:val="009D5F5F"/>
    <w:rsid w:val="009E632F"/>
    <w:rsid w:val="00A01896"/>
    <w:rsid w:val="00A01A94"/>
    <w:rsid w:val="00A02458"/>
    <w:rsid w:val="00A02813"/>
    <w:rsid w:val="00A04521"/>
    <w:rsid w:val="00A06D9F"/>
    <w:rsid w:val="00A106D4"/>
    <w:rsid w:val="00A145AA"/>
    <w:rsid w:val="00A1461D"/>
    <w:rsid w:val="00A33645"/>
    <w:rsid w:val="00A3370E"/>
    <w:rsid w:val="00A353D5"/>
    <w:rsid w:val="00A421DB"/>
    <w:rsid w:val="00A52945"/>
    <w:rsid w:val="00A57335"/>
    <w:rsid w:val="00A57BF8"/>
    <w:rsid w:val="00A63C09"/>
    <w:rsid w:val="00A64F52"/>
    <w:rsid w:val="00A837B8"/>
    <w:rsid w:val="00A93CA8"/>
    <w:rsid w:val="00A94319"/>
    <w:rsid w:val="00AA7BA5"/>
    <w:rsid w:val="00AC65CD"/>
    <w:rsid w:val="00AC7844"/>
    <w:rsid w:val="00AD2ABC"/>
    <w:rsid w:val="00AD3C1A"/>
    <w:rsid w:val="00AE0F34"/>
    <w:rsid w:val="00AE3081"/>
    <w:rsid w:val="00AF0C0B"/>
    <w:rsid w:val="00B04B67"/>
    <w:rsid w:val="00B055FF"/>
    <w:rsid w:val="00B15F1A"/>
    <w:rsid w:val="00B26E0B"/>
    <w:rsid w:val="00B4100D"/>
    <w:rsid w:val="00B462F1"/>
    <w:rsid w:val="00B53AB3"/>
    <w:rsid w:val="00B554ED"/>
    <w:rsid w:val="00B57C97"/>
    <w:rsid w:val="00B61149"/>
    <w:rsid w:val="00B66279"/>
    <w:rsid w:val="00B71536"/>
    <w:rsid w:val="00B7242E"/>
    <w:rsid w:val="00B760FE"/>
    <w:rsid w:val="00B77BF9"/>
    <w:rsid w:val="00B92DB4"/>
    <w:rsid w:val="00BA2D11"/>
    <w:rsid w:val="00BB6C69"/>
    <w:rsid w:val="00BB6D57"/>
    <w:rsid w:val="00BB74ED"/>
    <w:rsid w:val="00BC07D8"/>
    <w:rsid w:val="00BC57CC"/>
    <w:rsid w:val="00BC58F7"/>
    <w:rsid w:val="00BC6025"/>
    <w:rsid w:val="00BD095C"/>
    <w:rsid w:val="00BE152D"/>
    <w:rsid w:val="00BF505A"/>
    <w:rsid w:val="00C003CF"/>
    <w:rsid w:val="00C01F7B"/>
    <w:rsid w:val="00C02E7D"/>
    <w:rsid w:val="00C04FEE"/>
    <w:rsid w:val="00C07D42"/>
    <w:rsid w:val="00C1137A"/>
    <w:rsid w:val="00C1205F"/>
    <w:rsid w:val="00C132F2"/>
    <w:rsid w:val="00C139DE"/>
    <w:rsid w:val="00C15A80"/>
    <w:rsid w:val="00C204D2"/>
    <w:rsid w:val="00C23B85"/>
    <w:rsid w:val="00C321E2"/>
    <w:rsid w:val="00C363A5"/>
    <w:rsid w:val="00C363DC"/>
    <w:rsid w:val="00C43119"/>
    <w:rsid w:val="00C45F14"/>
    <w:rsid w:val="00C57D33"/>
    <w:rsid w:val="00C64BC9"/>
    <w:rsid w:val="00C66AD2"/>
    <w:rsid w:val="00C710E9"/>
    <w:rsid w:val="00C7581F"/>
    <w:rsid w:val="00C969A5"/>
    <w:rsid w:val="00CA44BF"/>
    <w:rsid w:val="00CA45E8"/>
    <w:rsid w:val="00CB27CB"/>
    <w:rsid w:val="00CB2F7E"/>
    <w:rsid w:val="00CB31EE"/>
    <w:rsid w:val="00CB4B19"/>
    <w:rsid w:val="00CB5DDE"/>
    <w:rsid w:val="00CC622E"/>
    <w:rsid w:val="00CC63AF"/>
    <w:rsid w:val="00CD13FF"/>
    <w:rsid w:val="00CD4B33"/>
    <w:rsid w:val="00CD70EE"/>
    <w:rsid w:val="00CD7D40"/>
    <w:rsid w:val="00CE0984"/>
    <w:rsid w:val="00CE0B9B"/>
    <w:rsid w:val="00CE608C"/>
    <w:rsid w:val="00CF10ED"/>
    <w:rsid w:val="00CF7A39"/>
    <w:rsid w:val="00CF7EF8"/>
    <w:rsid w:val="00D01FF0"/>
    <w:rsid w:val="00D126A0"/>
    <w:rsid w:val="00D12CB4"/>
    <w:rsid w:val="00D205C7"/>
    <w:rsid w:val="00D2246C"/>
    <w:rsid w:val="00D233E0"/>
    <w:rsid w:val="00D24327"/>
    <w:rsid w:val="00D2734C"/>
    <w:rsid w:val="00D32970"/>
    <w:rsid w:val="00D336D8"/>
    <w:rsid w:val="00D349FE"/>
    <w:rsid w:val="00D35EB7"/>
    <w:rsid w:val="00D3754F"/>
    <w:rsid w:val="00D42EC8"/>
    <w:rsid w:val="00D448B2"/>
    <w:rsid w:val="00D46B24"/>
    <w:rsid w:val="00D47325"/>
    <w:rsid w:val="00D547D4"/>
    <w:rsid w:val="00D569C0"/>
    <w:rsid w:val="00D62C43"/>
    <w:rsid w:val="00D70B99"/>
    <w:rsid w:val="00D71B6E"/>
    <w:rsid w:val="00D765C3"/>
    <w:rsid w:val="00D77DCE"/>
    <w:rsid w:val="00D80088"/>
    <w:rsid w:val="00D80BBA"/>
    <w:rsid w:val="00D8469E"/>
    <w:rsid w:val="00D86B30"/>
    <w:rsid w:val="00D9000E"/>
    <w:rsid w:val="00D9147F"/>
    <w:rsid w:val="00D924ED"/>
    <w:rsid w:val="00D929FA"/>
    <w:rsid w:val="00D9363B"/>
    <w:rsid w:val="00D93FC7"/>
    <w:rsid w:val="00D94A5B"/>
    <w:rsid w:val="00D94B49"/>
    <w:rsid w:val="00D966DA"/>
    <w:rsid w:val="00DA1304"/>
    <w:rsid w:val="00DA3265"/>
    <w:rsid w:val="00DA4445"/>
    <w:rsid w:val="00DA667F"/>
    <w:rsid w:val="00DB1509"/>
    <w:rsid w:val="00DB6FFA"/>
    <w:rsid w:val="00DC19F6"/>
    <w:rsid w:val="00DE7207"/>
    <w:rsid w:val="00DE7210"/>
    <w:rsid w:val="00DF0F6D"/>
    <w:rsid w:val="00DF2EE0"/>
    <w:rsid w:val="00E00EEF"/>
    <w:rsid w:val="00E06505"/>
    <w:rsid w:val="00E134AF"/>
    <w:rsid w:val="00E1569A"/>
    <w:rsid w:val="00E2188A"/>
    <w:rsid w:val="00E21DE1"/>
    <w:rsid w:val="00E27014"/>
    <w:rsid w:val="00E3789A"/>
    <w:rsid w:val="00E443F6"/>
    <w:rsid w:val="00E60071"/>
    <w:rsid w:val="00E603BB"/>
    <w:rsid w:val="00E63479"/>
    <w:rsid w:val="00E64990"/>
    <w:rsid w:val="00E70289"/>
    <w:rsid w:val="00E71C17"/>
    <w:rsid w:val="00E76A70"/>
    <w:rsid w:val="00E8267B"/>
    <w:rsid w:val="00E84B67"/>
    <w:rsid w:val="00E870A0"/>
    <w:rsid w:val="00E9038B"/>
    <w:rsid w:val="00E93001"/>
    <w:rsid w:val="00E940EB"/>
    <w:rsid w:val="00E941A0"/>
    <w:rsid w:val="00EC3121"/>
    <w:rsid w:val="00ED246A"/>
    <w:rsid w:val="00ED2A72"/>
    <w:rsid w:val="00EF1697"/>
    <w:rsid w:val="00EF1A0F"/>
    <w:rsid w:val="00EF254F"/>
    <w:rsid w:val="00EF28CA"/>
    <w:rsid w:val="00F00DC6"/>
    <w:rsid w:val="00F026E5"/>
    <w:rsid w:val="00F059F4"/>
    <w:rsid w:val="00F06B50"/>
    <w:rsid w:val="00F119EE"/>
    <w:rsid w:val="00F12615"/>
    <w:rsid w:val="00F17CDC"/>
    <w:rsid w:val="00F24CF8"/>
    <w:rsid w:val="00F31B5A"/>
    <w:rsid w:val="00F34572"/>
    <w:rsid w:val="00F435ED"/>
    <w:rsid w:val="00F44A05"/>
    <w:rsid w:val="00F527B4"/>
    <w:rsid w:val="00F53C5A"/>
    <w:rsid w:val="00F573BE"/>
    <w:rsid w:val="00F65CC6"/>
    <w:rsid w:val="00F67C3D"/>
    <w:rsid w:val="00F75BEE"/>
    <w:rsid w:val="00F80A7F"/>
    <w:rsid w:val="00F813F9"/>
    <w:rsid w:val="00F81675"/>
    <w:rsid w:val="00F87BBF"/>
    <w:rsid w:val="00F902EC"/>
    <w:rsid w:val="00F91AB3"/>
    <w:rsid w:val="00F93586"/>
    <w:rsid w:val="00F94E69"/>
    <w:rsid w:val="00F96595"/>
    <w:rsid w:val="00FA1E89"/>
    <w:rsid w:val="00FA4FB0"/>
    <w:rsid w:val="00FB102F"/>
    <w:rsid w:val="00FC156B"/>
    <w:rsid w:val="00FC6C56"/>
    <w:rsid w:val="00FC7A20"/>
    <w:rsid w:val="00FD033E"/>
    <w:rsid w:val="00FD492E"/>
    <w:rsid w:val="00FE2EF5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E65148-281A-492D-8C6A-A58D1CD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0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C1A"/>
  </w:style>
  <w:style w:type="paragraph" w:styleId="Piedepgina">
    <w:name w:val="footer"/>
    <w:basedOn w:val="Normal"/>
    <w:link w:val="PiedepginaCar"/>
    <w:uiPriority w:val="99"/>
    <w:unhideWhenUsed/>
    <w:rsid w:val="00AD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1A"/>
  </w:style>
  <w:style w:type="table" w:styleId="Tablaconcuadrcula">
    <w:name w:val="Table Grid"/>
    <w:basedOn w:val="Tablanormal"/>
    <w:uiPriority w:val="39"/>
    <w:rsid w:val="00AD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3">
    <w:name w:val="Medium List 2 Accent 3"/>
    <w:basedOn w:val="Tablanormal"/>
    <w:uiPriority w:val="66"/>
    <w:rsid w:val="00AD3C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7E6CC5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5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7DF"/>
    <w:rPr>
      <w:color w:val="0563C1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415598"/>
    <w:pPr>
      <w:numPr>
        <w:numId w:val="1"/>
      </w:numPr>
      <w:contextualSpacing/>
    </w:pPr>
  </w:style>
  <w:style w:type="paragraph" w:styleId="Sinespaciado">
    <w:name w:val="No Spacing"/>
    <w:uiPriority w:val="1"/>
    <w:qFormat/>
    <w:rsid w:val="00D42E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7D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numbering" w:customStyle="1" w:styleId="Estilo1">
    <w:name w:val="Estilo1"/>
    <w:uiPriority w:val="99"/>
    <w:rsid w:val="00D966DA"/>
    <w:pPr>
      <w:numPr>
        <w:numId w:val="6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BC07D8"/>
    <w:rPr>
      <w:color w:val="954F72"/>
      <w:u w:val="single"/>
    </w:rPr>
  </w:style>
  <w:style w:type="paragraph" w:customStyle="1" w:styleId="xl66">
    <w:name w:val="xl66"/>
    <w:basedOn w:val="Normal"/>
    <w:rsid w:val="00BC07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5"/>
      <w:szCs w:val="15"/>
      <w:lang w:eastAsia="es-MX"/>
    </w:rPr>
  </w:style>
  <w:style w:type="paragraph" w:customStyle="1" w:styleId="xl67">
    <w:name w:val="xl67"/>
    <w:basedOn w:val="Normal"/>
    <w:rsid w:val="00BC0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5"/>
      <w:szCs w:val="15"/>
      <w:lang w:eastAsia="es-MX"/>
    </w:rPr>
  </w:style>
  <w:style w:type="paragraph" w:customStyle="1" w:styleId="xl68">
    <w:name w:val="xl68"/>
    <w:basedOn w:val="Normal"/>
    <w:rsid w:val="00BC07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5"/>
      <w:szCs w:val="15"/>
      <w:lang w:eastAsia="es-MX"/>
    </w:rPr>
  </w:style>
  <w:style w:type="paragraph" w:customStyle="1" w:styleId="xl69">
    <w:name w:val="xl69"/>
    <w:basedOn w:val="Normal"/>
    <w:rsid w:val="00BC07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5"/>
      <w:szCs w:val="15"/>
      <w:lang w:eastAsia="es-MX"/>
    </w:rPr>
  </w:style>
  <w:style w:type="paragraph" w:customStyle="1" w:styleId="xl70">
    <w:name w:val="xl70"/>
    <w:basedOn w:val="Normal"/>
    <w:rsid w:val="00BC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5"/>
      <w:szCs w:val="15"/>
      <w:lang w:eastAsia="es-MX"/>
    </w:rPr>
  </w:style>
  <w:style w:type="paragraph" w:customStyle="1" w:styleId="xl71">
    <w:name w:val="xl71"/>
    <w:basedOn w:val="Normal"/>
    <w:rsid w:val="00BC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5"/>
      <w:szCs w:val="15"/>
      <w:lang w:eastAsia="es-MX"/>
    </w:rPr>
  </w:style>
  <w:style w:type="paragraph" w:customStyle="1" w:styleId="xl72">
    <w:name w:val="xl72"/>
    <w:basedOn w:val="Normal"/>
    <w:rsid w:val="00BC07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5"/>
      <w:szCs w:val="15"/>
      <w:lang w:eastAsia="es-MX"/>
    </w:rPr>
  </w:style>
  <w:style w:type="paragraph" w:customStyle="1" w:styleId="xl73">
    <w:name w:val="xl73"/>
    <w:basedOn w:val="Normal"/>
    <w:rsid w:val="00BC0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5"/>
      <w:szCs w:val="15"/>
      <w:lang w:eastAsia="es-MX"/>
    </w:rPr>
  </w:style>
  <w:style w:type="paragraph" w:customStyle="1" w:styleId="xl74">
    <w:name w:val="xl74"/>
    <w:basedOn w:val="Normal"/>
    <w:rsid w:val="00BC0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5"/>
      <w:szCs w:val="15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269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9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9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9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32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0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8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6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32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62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3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0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5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54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96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5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_obj_resp@funcionpublic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3BB5-3379-4648-8C9E-D429E359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4988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Ramírez Haasmann, Raul Serafin</cp:lastModifiedBy>
  <cp:revision>2</cp:revision>
  <cp:lastPrinted>2015-03-27T05:44:00Z</cp:lastPrinted>
  <dcterms:created xsi:type="dcterms:W3CDTF">2015-04-14T17:24:00Z</dcterms:created>
  <dcterms:modified xsi:type="dcterms:W3CDTF">2015-04-14T17:24:00Z</dcterms:modified>
</cp:coreProperties>
</file>